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030EC5" w14:textId="673DD30E" w:rsidR="00991857" w:rsidRPr="00A80D3B" w:rsidRDefault="00991857" w:rsidP="00991857">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E15A2C" w:rsidRPr="00E15A2C">
        <w:rPr>
          <w:rFonts w:ascii="Arial" w:hAnsi="Arial" w:cs="Arial"/>
          <w:b/>
          <w:bCs/>
          <w:sz w:val="28"/>
        </w:rPr>
        <w:t>R1-2300592</w:t>
      </w:r>
    </w:p>
    <w:p w14:paraId="025A5591" w14:textId="77777777" w:rsidR="00991857" w:rsidRPr="009513AC" w:rsidRDefault="00991857" w:rsidP="0099185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2AE33D49" w14:textId="77777777" w:rsidR="00A92DED" w:rsidRPr="00DF236C" w:rsidRDefault="00A92DED" w:rsidP="00A92DED">
      <w:pPr>
        <w:tabs>
          <w:tab w:val="center" w:pos="4536"/>
          <w:tab w:val="right" w:pos="9072"/>
        </w:tabs>
        <w:ind w:left="0" w:firstLine="0"/>
        <w:rPr>
          <w:rFonts w:ascii="Arial" w:eastAsia="MS Mincho" w:hAnsi="Arial" w:cs="Arial"/>
          <w:b/>
          <w:bCs/>
          <w:sz w:val="28"/>
          <w:lang w:eastAsia="ja-JP"/>
        </w:rPr>
      </w:pPr>
    </w:p>
    <w:p w14:paraId="6AB2DADB" w14:textId="77777777" w:rsidR="009A0311" w:rsidRPr="00663F79" w:rsidRDefault="009A0311" w:rsidP="00A232DA">
      <w:pPr>
        <w:tabs>
          <w:tab w:val="left" w:pos="1701"/>
          <w:tab w:val="right" w:pos="9072"/>
          <w:tab w:val="right" w:pos="10206"/>
        </w:tabs>
        <w:ind w:left="0" w:firstLine="0"/>
        <w:rPr>
          <w:rFonts w:ascii="Arial" w:hAnsi="Arial"/>
          <w:b/>
          <w:color w:val="000000"/>
          <w:sz w:val="18"/>
          <w:szCs w:val="20"/>
        </w:rPr>
      </w:pPr>
    </w:p>
    <w:p w14:paraId="6A82EC62" w14:textId="57FE8636"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 xml:space="preserve">Source: </w:t>
      </w:r>
      <w:r w:rsidRPr="003B5F4D">
        <w:rPr>
          <w:rFonts w:ascii="Arial" w:hAnsi="Arial" w:cs="Arial"/>
          <w:b/>
          <w:bCs/>
          <w:color w:val="000000"/>
          <w:sz w:val="24"/>
        </w:rPr>
        <w:tab/>
      </w:r>
      <w:r w:rsidR="007603DC" w:rsidRPr="003B5F4D">
        <w:rPr>
          <w:rFonts w:ascii="Arial" w:hAnsi="Arial" w:cs="Arial"/>
          <w:b/>
          <w:bCs/>
          <w:color w:val="000000"/>
          <w:sz w:val="24"/>
        </w:rPr>
        <w:t xml:space="preserve">   </w:t>
      </w:r>
      <w:r w:rsidR="004D7C13">
        <w:rPr>
          <w:rFonts w:ascii="Arial" w:hAnsi="Arial" w:cs="Arial"/>
          <w:b/>
          <w:bCs/>
          <w:color w:val="000000"/>
          <w:sz w:val="24"/>
        </w:rPr>
        <w:t xml:space="preserve">  </w:t>
      </w:r>
      <w:r w:rsidR="00050DC9" w:rsidRPr="003B5F4D">
        <w:rPr>
          <w:rFonts w:ascii="Arial" w:hAnsi="Arial" w:cs="Arial"/>
          <w:b/>
          <w:bCs/>
          <w:color w:val="000000"/>
          <w:sz w:val="24"/>
        </w:rPr>
        <w:t>Xiaomi</w:t>
      </w:r>
    </w:p>
    <w:p w14:paraId="48FFFCA6" w14:textId="459C6580" w:rsidR="00DF236C" w:rsidRPr="00DE3330" w:rsidRDefault="005D191B" w:rsidP="004D7C13">
      <w:pPr>
        <w:ind w:left="1800" w:hangingChars="750" w:hanging="1800"/>
        <w:rPr>
          <w:rFonts w:ascii="Arial" w:hAnsi="Arial" w:cs="Arial"/>
          <w:b/>
          <w:bCs/>
          <w:color w:val="000000"/>
          <w:sz w:val="24"/>
        </w:rPr>
      </w:pPr>
      <w:r w:rsidRPr="003B5F4D">
        <w:rPr>
          <w:rFonts w:ascii="Arial" w:hAnsi="Arial" w:cs="Arial"/>
          <w:b/>
          <w:bCs/>
          <w:color w:val="000000"/>
          <w:sz w:val="24"/>
        </w:rPr>
        <w:t>Title:</w:t>
      </w:r>
      <w:bookmarkStart w:id="0" w:name="Title"/>
      <w:bookmarkEnd w:id="0"/>
      <w:r w:rsidR="004D7C13">
        <w:rPr>
          <w:rFonts w:ascii="Arial" w:hAnsi="Arial" w:cs="Arial"/>
          <w:b/>
          <w:bCs/>
          <w:color w:val="000000"/>
          <w:sz w:val="24"/>
        </w:rPr>
        <w:t xml:space="preserve">                  </w:t>
      </w:r>
      <w:r w:rsidR="008F0711" w:rsidRPr="00F27C2F">
        <w:rPr>
          <w:rFonts w:ascii="Arial" w:hAnsi="Arial" w:cs="Arial"/>
          <w:b/>
          <w:bCs/>
          <w:color w:val="000000"/>
          <w:sz w:val="24"/>
        </w:rPr>
        <w:t>Discussion on multi-carrier UL Tx switching</w:t>
      </w:r>
      <w:r w:rsidR="008F0711">
        <w:rPr>
          <w:rFonts w:ascii="Arial" w:hAnsi="Arial" w:cs="Arial"/>
          <w:b/>
          <w:bCs/>
          <w:color w:val="000000"/>
          <w:sz w:val="24"/>
        </w:rPr>
        <w:t xml:space="preserve"> scheme</w:t>
      </w:r>
      <w:bookmarkStart w:id="1" w:name="_GoBack"/>
      <w:bookmarkEnd w:id="1"/>
    </w:p>
    <w:p w14:paraId="3BB349DD" w14:textId="0591E4B7" w:rsidR="00CA7937" w:rsidRPr="00DF236C" w:rsidRDefault="00CA7937" w:rsidP="00BB6F46">
      <w:pPr>
        <w:tabs>
          <w:tab w:val="center" w:pos="4536"/>
          <w:tab w:val="right" w:pos="8280"/>
          <w:tab w:val="right" w:pos="9639"/>
        </w:tabs>
        <w:ind w:left="1776" w:hanging="1776"/>
        <w:rPr>
          <w:rFonts w:ascii="Arial" w:hAnsi="Arial" w:cs="Arial"/>
          <w:b/>
          <w:bCs/>
          <w:color w:val="000000"/>
          <w:sz w:val="24"/>
        </w:rPr>
      </w:pPr>
    </w:p>
    <w:p w14:paraId="68256A17" w14:textId="3F0050D1" w:rsidR="005D191B" w:rsidRPr="003B5F4D" w:rsidRDefault="007603DC" w:rsidP="00BB6F46">
      <w:pPr>
        <w:tabs>
          <w:tab w:val="center" w:pos="4536"/>
          <w:tab w:val="right" w:pos="8280"/>
          <w:tab w:val="right" w:pos="9639"/>
        </w:tabs>
        <w:rPr>
          <w:rFonts w:ascii="Arial" w:hAnsi="Arial" w:cs="Arial"/>
          <w:b/>
          <w:bCs/>
          <w:color w:val="000000"/>
          <w:sz w:val="24"/>
        </w:rPr>
      </w:pPr>
      <w:r w:rsidRPr="003B5F4D">
        <w:rPr>
          <w:rFonts w:ascii="Arial" w:hAnsi="Arial" w:cs="Arial" w:hint="eastAsia"/>
          <w:b/>
          <w:bCs/>
          <w:color w:val="000000"/>
          <w:sz w:val="24"/>
        </w:rPr>
        <w:t>Agenda</w:t>
      </w:r>
      <w:r w:rsidRPr="003B5F4D">
        <w:rPr>
          <w:rFonts w:ascii="Arial" w:hAnsi="Arial" w:cs="Arial"/>
          <w:b/>
          <w:bCs/>
          <w:color w:val="000000"/>
          <w:sz w:val="24"/>
        </w:rPr>
        <w:t xml:space="preserve"> item</w:t>
      </w:r>
      <w:r w:rsidRPr="003B5F4D">
        <w:rPr>
          <w:rFonts w:ascii="Arial" w:hAnsi="Arial" w:cs="Arial" w:hint="eastAsia"/>
          <w:b/>
          <w:bCs/>
          <w:color w:val="000000"/>
          <w:sz w:val="24"/>
        </w:rPr>
        <w:t xml:space="preserve">:   </w:t>
      </w:r>
      <w:r w:rsidRPr="003B5F4D">
        <w:rPr>
          <w:rFonts w:ascii="Arial" w:hAnsi="Arial" w:cs="Arial"/>
          <w:b/>
          <w:bCs/>
          <w:color w:val="000000"/>
          <w:sz w:val="24"/>
        </w:rPr>
        <w:t xml:space="preserve"> </w:t>
      </w:r>
      <w:r w:rsidR="007441E2">
        <w:rPr>
          <w:rFonts w:ascii="Arial" w:hAnsi="Arial" w:cs="Arial"/>
          <w:b/>
          <w:bCs/>
          <w:sz w:val="24"/>
        </w:rPr>
        <w:t>9</w:t>
      </w:r>
      <w:r w:rsidR="00D60BEE">
        <w:rPr>
          <w:rFonts w:ascii="Arial" w:hAnsi="Arial" w:cs="Arial"/>
          <w:b/>
          <w:bCs/>
          <w:sz w:val="24"/>
        </w:rPr>
        <w:t>.</w:t>
      </w:r>
      <w:r w:rsidR="009563F2">
        <w:rPr>
          <w:rFonts w:ascii="Arial" w:hAnsi="Arial" w:cs="Arial"/>
          <w:b/>
          <w:bCs/>
          <w:sz w:val="24"/>
        </w:rPr>
        <w:t>9</w:t>
      </w:r>
      <w:r w:rsidR="00D60BEE">
        <w:rPr>
          <w:rFonts w:ascii="Arial" w:hAnsi="Arial" w:cs="Arial"/>
          <w:b/>
          <w:bCs/>
          <w:sz w:val="24"/>
        </w:rPr>
        <w:t>.</w:t>
      </w:r>
      <w:r w:rsidR="00DF236C">
        <w:rPr>
          <w:rFonts w:ascii="Arial" w:hAnsi="Arial" w:cs="Arial"/>
          <w:b/>
          <w:bCs/>
          <w:sz w:val="24"/>
        </w:rPr>
        <w:t>2</w:t>
      </w:r>
    </w:p>
    <w:p w14:paraId="7E63E724" w14:textId="77777777"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Document for:</w:t>
      </w:r>
      <w:bookmarkStart w:id="2" w:name="DocumentFor"/>
      <w:bookmarkEnd w:id="2"/>
      <w:r w:rsidR="007603DC" w:rsidRPr="003B5F4D">
        <w:rPr>
          <w:rFonts w:ascii="Arial" w:hAnsi="Arial" w:cs="Arial"/>
          <w:b/>
          <w:bCs/>
          <w:color w:val="000000"/>
          <w:sz w:val="24"/>
        </w:rPr>
        <w:t xml:space="preserve">  </w:t>
      </w:r>
      <w:r w:rsidR="00050DC9" w:rsidRPr="003B5F4D">
        <w:rPr>
          <w:rFonts w:ascii="Arial" w:hAnsi="Arial" w:cs="Arial"/>
          <w:b/>
          <w:bCs/>
          <w:color w:val="000000"/>
          <w:sz w:val="24"/>
        </w:rPr>
        <w:t xml:space="preserve">Discussion </w:t>
      </w:r>
    </w:p>
    <w:p w14:paraId="59A75AC5" w14:textId="77777777" w:rsidR="005D191B" w:rsidRPr="003B5F4D" w:rsidRDefault="005D191B" w:rsidP="007603DC">
      <w:pPr>
        <w:pBdr>
          <w:bottom w:val="single" w:sz="4" w:space="1" w:color="auto"/>
        </w:pBdr>
        <w:ind w:left="0" w:firstLine="0"/>
        <w:rPr>
          <w:color w:val="000000"/>
        </w:rPr>
      </w:pPr>
    </w:p>
    <w:p w14:paraId="045219CD" w14:textId="77777777" w:rsidR="00571CE7" w:rsidRPr="003B5F4D" w:rsidRDefault="00050DC9" w:rsidP="00607237">
      <w:pPr>
        <w:pStyle w:val="1"/>
        <w:tabs>
          <w:tab w:val="clear" w:pos="432"/>
          <w:tab w:val="num" w:pos="72"/>
        </w:tabs>
        <w:rPr>
          <w:color w:val="000000"/>
        </w:rPr>
      </w:pPr>
      <w:r w:rsidRPr="003B5F4D">
        <w:rPr>
          <w:color w:val="000000"/>
        </w:rPr>
        <w:t>Introduction</w:t>
      </w:r>
    </w:p>
    <w:p w14:paraId="77F4CFE9" w14:textId="4CDB3CBB" w:rsidR="007A6B88" w:rsidRPr="00081BC5" w:rsidRDefault="00CE7713" w:rsidP="00E15A2C">
      <w:pPr>
        <w:spacing w:beforeLines="50" w:before="120" w:afterLines="50" w:after="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In RAN</w:t>
      </w:r>
      <w:r w:rsidR="007A6B88">
        <w:rPr>
          <w:rFonts w:ascii="Times New Roman" w:eastAsia="宋体" w:hAnsi="Times New Roman"/>
          <w:color w:val="000000"/>
          <w:sz w:val="21"/>
          <w:szCs w:val="22"/>
          <w:lang w:eastAsia="zh-CN"/>
        </w:rPr>
        <w:t>1#1</w:t>
      </w:r>
      <w:r w:rsidR="00383C03">
        <w:rPr>
          <w:rFonts w:ascii="Times New Roman" w:eastAsia="宋体" w:hAnsi="Times New Roman"/>
          <w:color w:val="000000"/>
          <w:sz w:val="21"/>
          <w:szCs w:val="22"/>
          <w:lang w:eastAsia="zh-CN"/>
        </w:rPr>
        <w:t>1</w:t>
      </w:r>
      <w:r w:rsidR="00D01077">
        <w:rPr>
          <w:rFonts w:ascii="Times New Roman" w:eastAsia="宋体" w:hAnsi="Times New Roman"/>
          <w:color w:val="000000"/>
          <w:sz w:val="21"/>
          <w:szCs w:val="22"/>
          <w:lang w:eastAsia="zh-CN"/>
        </w:rPr>
        <w:t xml:space="preserve">1 </w:t>
      </w:r>
      <w:r w:rsidR="007A6B88">
        <w:rPr>
          <w:rFonts w:ascii="Times New Roman" w:eastAsia="宋体" w:hAnsi="Times New Roman"/>
          <w:color w:val="000000"/>
          <w:sz w:val="21"/>
          <w:szCs w:val="22"/>
          <w:lang w:eastAsia="zh-CN"/>
        </w:rPr>
        <w:t xml:space="preserve">meeting, we discussed </w:t>
      </w:r>
      <w:bookmarkStart w:id="3" w:name="OLE_LINK5"/>
      <w:r w:rsidR="007A6B88">
        <w:rPr>
          <w:rFonts w:ascii="Times New Roman" w:eastAsia="宋体" w:hAnsi="Times New Roman"/>
          <w:color w:val="000000"/>
          <w:sz w:val="21"/>
          <w:szCs w:val="22"/>
          <w:lang w:eastAsia="zh-CN"/>
        </w:rPr>
        <w:t xml:space="preserve">the </w:t>
      </w:r>
      <w:r w:rsidR="0072058F">
        <w:rPr>
          <w:rFonts w:ascii="Times New Roman" w:eastAsia="宋体" w:hAnsi="Times New Roman"/>
          <w:color w:val="000000"/>
          <w:sz w:val="21"/>
          <w:szCs w:val="22"/>
          <w:lang w:eastAsia="zh-CN"/>
        </w:rPr>
        <w:t xml:space="preserve">remaining issues for </w:t>
      </w:r>
      <w:r w:rsidR="007A6B88">
        <w:rPr>
          <w:rFonts w:ascii="Times New Roman" w:eastAsia="宋体" w:hAnsi="Times New Roman"/>
          <w:color w:val="000000"/>
          <w:sz w:val="21"/>
          <w:szCs w:val="22"/>
          <w:lang w:eastAsia="zh-CN"/>
        </w:rPr>
        <w:t>multi-carrier UL Tx switching scheme</w:t>
      </w:r>
      <w:bookmarkEnd w:id="3"/>
      <w:r w:rsidR="00E37933">
        <w:rPr>
          <w:rFonts w:ascii="Times New Roman" w:eastAsia="宋体" w:hAnsi="Times New Roman"/>
          <w:color w:val="000000"/>
          <w:sz w:val="21"/>
          <w:szCs w:val="22"/>
          <w:lang w:eastAsia="zh-CN"/>
        </w:rPr>
        <w:t xml:space="preserve"> </w:t>
      </w:r>
      <w:r w:rsidR="00000BCF">
        <w:rPr>
          <w:rFonts w:ascii="Times New Roman" w:eastAsia="宋体" w:hAnsi="Times New Roman" w:hint="eastAsia"/>
          <w:color w:val="000000"/>
          <w:sz w:val="21"/>
          <w:szCs w:val="22"/>
          <w:lang w:eastAsia="zh-CN"/>
        </w:rPr>
        <w:t>and</w:t>
      </w:r>
      <w:r w:rsidR="00000BCF">
        <w:rPr>
          <w:rFonts w:ascii="Times New Roman" w:eastAsia="宋体" w:hAnsi="Times New Roman"/>
          <w:color w:val="000000"/>
          <w:sz w:val="21"/>
          <w:szCs w:val="22"/>
          <w:lang w:eastAsia="zh-CN"/>
        </w:rPr>
        <w:t xml:space="preserve"> the following agreements were achieved: </w:t>
      </w:r>
      <w:r w:rsidR="00000BCF">
        <w:rPr>
          <w:rFonts w:ascii="Times New Roman" w:eastAsia="宋体" w:hAnsi="Times New Roman"/>
          <w:color w:val="000000"/>
          <w:sz w:val="21"/>
          <w:szCs w:val="22"/>
          <w:lang w:eastAsia="zh-CN"/>
        </w:rPr>
        <w:fldChar w:fldCharType="begin"/>
      </w:r>
      <w:r w:rsidR="00000BCF">
        <w:rPr>
          <w:rFonts w:ascii="Times New Roman" w:eastAsia="宋体" w:hAnsi="Times New Roman"/>
          <w:color w:val="000000"/>
          <w:sz w:val="21"/>
          <w:szCs w:val="22"/>
          <w:lang w:eastAsia="zh-CN"/>
        </w:rPr>
        <w:instrText xml:space="preserve"> REF _Ref127174799 \r \h </w:instrText>
      </w:r>
      <w:r w:rsidR="00000BCF">
        <w:rPr>
          <w:rFonts w:ascii="Times New Roman" w:eastAsia="宋体" w:hAnsi="Times New Roman"/>
          <w:color w:val="000000"/>
          <w:sz w:val="21"/>
          <w:szCs w:val="22"/>
          <w:lang w:eastAsia="zh-CN"/>
        </w:rPr>
      </w:r>
      <w:r w:rsidR="00000BCF">
        <w:rPr>
          <w:rFonts w:ascii="Times New Roman" w:eastAsia="宋体" w:hAnsi="Times New Roman"/>
          <w:color w:val="000000"/>
          <w:sz w:val="21"/>
          <w:szCs w:val="22"/>
          <w:lang w:eastAsia="zh-CN"/>
        </w:rPr>
        <w:fldChar w:fldCharType="separate"/>
      </w:r>
      <w:r w:rsidR="00000BCF">
        <w:rPr>
          <w:rFonts w:ascii="Times New Roman" w:eastAsia="宋体" w:hAnsi="Times New Roman"/>
          <w:color w:val="000000"/>
          <w:sz w:val="21"/>
          <w:szCs w:val="22"/>
          <w:lang w:eastAsia="zh-CN"/>
        </w:rPr>
        <w:t>[1]</w:t>
      </w:r>
      <w:r w:rsidR="00000BCF">
        <w:rPr>
          <w:rFonts w:ascii="Times New Roman" w:eastAsia="宋体" w:hAnsi="Times New Roman"/>
          <w:color w:val="000000"/>
          <w:sz w:val="21"/>
          <w:szCs w:val="22"/>
          <w:lang w:eastAsia="zh-CN"/>
        </w:rPr>
        <w:fldChar w:fldCharType="end"/>
      </w:r>
    </w:p>
    <w:tbl>
      <w:tblPr>
        <w:tblStyle w:val="af1"/>
        <w:tblW w:w="0" w:type="auto"/>
        <w:tblLook w:val="04A0" w:firstRow="1" w:lastRow="0" w:firstColumn="1" w:lastColumn="0" w:noHBand="0" w:noVBand="1"/>
      </w:tblPr>
      <w:tblGrid>
        <w:gridCol w:w="9631"/>
      </w:tblGrid>
      <w:tr w:rsidR="007A6B88" w14:paraId="57CFBD5B" w14:textId="77777777" w:rsidTr="007A6B88">
        <w:tc>
          <w:tcPr>
            <w:tcW w:w="9631" w:type="dxa"/>
          </w:tcPr>
          <w:p w14:paraId="17208165" w14:textId="77777777" w:rsidR="00D01077" w:rsidRPr="00E15A2C" w:rsidRDefault="00D01077" w:rsidP="00D01077">
            <w:pPr>
              <w:rPr>
                <w:sz w:val="21"/>
                <w:szCs w:val="21"/>
                <w:highlight w:val="green"/>
                <w:lang w:eastAsia="x-none"/>
              </w:rPr>
            </w:pPr>
            <w:bookmarkStart w:id="4" w:name="OLE_LINK2"/>
            <w:r w:rsidRPr="00E15A2C">
              <w:rPr>
                <w:sz w:val="21"/>
                <w:szCs w:val="21"/>
                <w:highlight w:val="green"/>
                <w:lang w:eastAsia="x-none"/>
              </w:rPr>
              <w:t>Agreement:</w:t>
            </w:r>
          </w:p>
          <w:p w14:paraId="5510CCCB" w14:textId="77777777" w:rsidR="00D01077" w:rsidRPr="00E15A2C" w:rsidRDefault="00D01077" w:rsidP="00AD6CFC">
            <w:pPr>
              <w:spacing w:beforeLines="50" w:before="120"/>
              <w:ind w:left="0" w:firstLine="0"/>
              <w:jc w:val="both"/>
              <w:rPr>
                <w:rFonts w:ascii="Times New Roman" w:eastAsia="宋体" w:hAnsi="Times New Roman"/>
                <w:color w:val="000000"/>
                <w:sz w:val="21"/>
                <w:szCs w:val="21"/>
                <w:lang w:eastAsia="zh-CN"/>
              </w:rPr>
            </w:pPr>
            <w:r w:rsidRPr="00E15A2C">
              <w:rPr>
                <w:rFonts w:ascii="Times New Roman" w:eastAsia="宋体" w:hAnsi="Times New Roman"/>
                <w:color w:val="000000"/>
                <w:sz w:val="21"/>
                <w:szCs w:val="21"/>
                <w:lang w:eastAsia="zh-CN"/>
              </w:rPr>
              <w:t>For switched UL, if UE supports up to 2 ports UL transmission on all the bands in the band combination, only switching cases (Tx chain states) with 2T are assumed</w:t>
            </w:r>
          </w:p>
          <w:p w14:paraId="008D5E11" w14:textId="77777777" w:rsidR="00D01077" w:rsidRPr="00E15A2C" w:rsidRDefault="00D01077" w:rsidP="00D01077">
            <w:pPr>
              <w:pStyle w:val="aff0"/>
              <w:numPr>
                <w:ilvl w:val="0"/>
                <w:numId w:val="33"/>
              </w:numPr>
              <w:overflowPunct w:val="0"/>
              <w:autoSpaceDE w:val="0"/>
              <w:autoSpaceDN w:val="0"/>
              <w:adjustRightInd w:val="0"/>
              <w:spacing w:after="180"/>
              <w:ind w:leftChars="0"/>
              <w:contextualSpacing/>
              <w:textAlignment w:val="baseline"/>
              <w:rPr>
                <w:sz w:val="21"/>
                <w:szCs w:val="21"/>
              </w:rPr>
            </w:pPr>
            <w:r w:rsidRPr="00E15A2C">
              <w:rPr>
                <w:sz w:val="21"/>
                <w:szCs w:val="21"/>
              </w:rPr>
              <w:t>Conclusion: In case of 3 bands, 3 switching cases ({2T,0T,0T}, {0T,2T,0T}, {0T,0T,2T}) are assumed</w:t>
            </w:r>
          </w:p>
          <w:p w14:paraId="4A5E6F3E" w14:textId="77777777" w:rsidR="00D01077" w:rsidRPr="00E15A2C" w:rsidRDefault="00D01077" w:rsidP="00D01077">
            <w:pPr>
              <w:pStyle w:val="aff0"/>
              <w:numPr>
                <w:ilvl w:val="0"/>
                <w:numId w:val="33"/>
              </w:numPr>
              <w:overflowPunct w:val="0"/>
              <w:autoSpaceDE w:val="0"/>
              <w:autoSpaceDN w:val="0"/>
              <w:adjustRightInd w:val="0"/>
              <w:spacing w:after="180"/>
              <w:ind w:leftChars="0"/>
              <w:contextualSpacing/>
              <w:textAlignment w:val="baseline"/>
              <w:rPr>
                <w:sz w:val="21"/>
                <w:szCs w:val="21"/>
                <w:lang w:val="fr-FR"/>
              </w:rPr>
            </w:pPr>
            <w:r w:rsidRPr="00E15A2C">
              <w:rPr>
                <w:sz w:val="21"/>
                <w:szCs w:val="21"/>
                <w:lang w:val="fr-FR"/>
              </w:rPr>
              <w:t>Conclusion: In case of 4 bands, 4 switching cases ({2T,0T,0T,0T}, {0T,2T,0T,0T}, {0T,0T,2T,0T}, {0T,0T,0T,2T}) are assumed</w:t>
            </w:r>
          </w:p>
          <w:p w14:paraId="23DE78CA" w14:textId="77777777" w:rsidR="00D01077" w:rsidRPr="00E15A2C" w:rsidRDefault="00D01077" w:rsidP="00D01077">
            <w:pPr>
              <w:pStyle w:val="aff0"/>
              <w:numPr>
                <w:ilvl w:val="0"/>
                <w:numId w:val="33"/>
              </w:numPr>
              <w:overflowPunct w:val="0"/>
              <w:autoSpaceDE w:val="0"/>
              <w:autoSpaceDN w:val="0"/>
              <w:adjustRightInd w:val="0"/>
              <w:spacing w:after="180"/>
              <w:ind w:leftChars="0"/>
              <w:contextualSpacing/>
              <w:textAlignment w:val="baseline"/>
              <w:rPr>
                <w:sz w:val="21"/>
                <w:szCs w:val="21"/>
              </w:rPr>
            </w:pPr>
            <w:r w:rsidRPr="00E15A2C">
              <w:rPr>
                <w:sz w:val="21"/>
                <w:szCs w:val="21"/>
              </w:rPr>
              <w:t>Based on the assumption, the switching gap is required for every UL transmission with changing transmitting band from preceding transmission in this scenario</w:t>
            </w:r>
          </w:p>
          <w:p w14:paraId="28CCA577" w14:textId="77777777" w:rsidR="00D01077" w:rsidRPr="00E15A2C" w:rsidRDefault="00D01077" w:rsidP="00D01077">
            <w:pPr>
              <w:rPr>
                <w:sz w:val="21"/>
                <w:szCs w:val="21"/>
                <w:highlight w:val="green"/>
                <w:lang w:eastAsia="x-none"/>
              </w:rPr>
            </w:pPr>
            <w:r w:rsidRPr="00E15A2C">
              <w:rPr>
                <w:sz w:val="21"/>
                <w:szCs w:val="21"/>
                <w:highlight w:val="green"/>
                <w:lang w:eastAsia="x-none"/>
              </w:rPr>
              <w:t>Agreement:</w:t>
            </w:r>
          </w:p>
          <w:p w14:paraId="4DF49607" w14:textId="77777777" w:rsidR="00D01077" w:rsidRPr="00E15A2C" w:rsidRDefault="00D01077" w:rsidP="00AD6CFC">
            <w:pPr>
              <w:spacing w:beforeLines="50" w:before="120"/>
              <w:ind w:left="0" w:firstLine="0"/>
              <w:jc w:val="both"/>
              <w:rPr>
                <w:rFonts w:ascii="Times New Roman" w:eastAsia="宋体" w:hAnsi="Times New Roman"/>
                <w:color w:val="000000"/>
                <w:sz w:val="21"/>
                <w:szCs w:val="21"/>
                <w:lang w:eastAsia="zh-CN"/>
              </w:rPr>
            </w:pPr>
            <w:r w:rsidRPr="00E15A2C">
              <w:rPr>
                <w:rFonts w:ascii="Times New Roman" w:eastAsia="宋体" w:hAnsi="Times New Roman"/>
                <w:color w:val="000000"/>
                <w:sz w:val="21"/>
                <w:szCs w:val="21"/>
                <w:lang w:eastAsia="zh-CN"/>
              </w:rPr>
              <w:t>For switched UL, if UE supports up to 2 ports UL transmission only on some of the bands in the band combination, only switching cases (Tx chain states) with 2T are assumed</w:t>
            </w:r>
          </w:p>
          <w:p w14:paraId="3B2C758B" w14:textId="77777777" w:rsidR="00D01077" w:rsidRPr="00E15A2C" w:rsidRDefault="00D01077" w:rsidP="00D01077">
            <w:pPr>
              <w:pStyle w:val="aff0"/>
              <w:numPr>
                <w:ilvl w:val="0"/>
                <w:numId w:val="35"/>
              </w:numPr>
              <w:overflowPunct w:val="0"/>
              <w:autoSpaceDE w:val="0"/>
              <w:autoSpaceDN w:val="0"/>
              <w:adjustRightInd w:val="0"/>
              <w:spacing w:after="180"/>
              <w:ind w:leftChars="0"/>
              <w:contextualSpacing/>
              <w:textAlignment w:val="baseline"/>
              <w:rPr>
                <w:sz w:val="21"/>
                <w:szCs w:val="21"/>
              </w:rPr>
            </w:pPr>
            <w:r w:rsidRPr="00E15A2C">
              <w:rPr>
                <w:sz w:val="21"/>
                <w:szCs w:val="21"/>
              </w:rPr>
              <w:t>Based on the assumption, the switching gap is required for every UL transmission with changing transmitting band from preceding transmission in this scenario</w:t>
            </w:r>
          </w:p>
          <w:p w14:paraId="33A617A9" w14:textId="77777777" w:rsidR="00D01077" w:rsidRPr="00E15A2C" w:rsidRDefault="00D01077" w:rsidP="00D01077">
            <w:pPr>
              <w:rPr>
                <w:sz w:val="21"/>
                <w:szCs w:val="21"/>
                <w:highlight w:val="green"/>
                <w:lang w:eastAsia="x-none"/>
              </w:rPr>
            </w:pPr>
            <w:r w:rsidRPr="00E15A2C">
              <w:rPr>
                <w:sz w:val="21"/>
                <w:szCs w:val="21"/>
                <w:highlight w:val="green"/>
                <w:lang w:eastAsia="x-none"/>
              </w:rPr>
              <w:t>Agreement:</w:t>
            </w:r>
          </w:p>
          <w:p w14:paraId="05E670C9" w14:textId="77777777" w:rsidR="00D01077" w:rsidRPr="00E15A2C" w:rsidRDefault="00D01077" w:rsidP="00AD6CFC">
            <w:pPr>
              <w:spacing w:beforeLines="50" w:before="120"/>
              <w:ind w:left="0" w:firstLine="0"/>
              <w:jc w:val="both"/>
              <w:rPr>
                <w:rFonts w:ascii="Times New Roman" w:eastAsia="宋体" w:hAnsi="Times New Roman"/>
                <w:color w:val="000000"/>
                <w:sz w:val="21"/>
                <w:szCs w:val="21"/>
                <w:lang w:eastAsia="zh-CN"/>
              </w:rPr>
            </w:pPr>
            <w:r w:rsidRPr="00E15A2C">
              <w:rPr>
                <w:rFonts w:ascii="Times New Roman" w:eastAsia="宋体" w:hAnsi="Times New Roman"/>
                <w:color w:val="000000"/>
                <w:sz w:val="21"/>
                <w:szCs w:val="21"/>
                <w:lang w:eastAsia="zh-CN"/>
              </w:rPr>
              <w:t>For dual UL, if a UE does not support concurrent transmission on specific band pair(s) and supports up to 2 ports UL transmission on all the bands in the band combination, corresponding switching case(s) with 1T-1T for the band pair(s) where concurrent transmission is not supported are not assumed.</w:t>
            </w:r>
          </w:p>
          <w:p w14:paraId="74817FF2" w14:textId="77777777" w:rsidR="00D01077" w:rsidRPr="00E15A2C" w:rsidRDefault="00D01077" w:rsidP="00D01077">
            <w:pPr>
              <w:rPr>
                <w:sz w:val="21"/>
                <w:szCs w:val="21"/>
                <w:lang w:eastAsia="x-none"/>
              </w:rPr>
            </w:pPr>
          </w:p>
          <w:p w14:paraId="27165835" w14:textId="77777777" w:rsidR="00D01077" w:rsidRPr="00E15A2C" w:rsidRDefault="00D01077" w:rsidP="00D01077">
            <w:pPr>
              <w:rPr>
                <w:sz w:val="21"/>
                <w:szCs w:val="21"/>
                <w:highlight w:val="green"/>
                <w:lang w:eastAsia="x-none"/>
              </w:rPr>
            </w:pPr>
            <w:r w:rsidRPr="00E15A2C">
              <w:rPr>
                <w:sz w:val="21"/>
                <w:szCs w:val="21"/>
                <w:highlight w:val="green"/>
                <w:lang w:eastAsia="x-none"/>
              </w:rPr>
              <w:t>Agreement:</w:t>
            </w:r>
          </w:p>
          <w:p w14:paraId="1F42B54F" w14:textId="77777777" w:rsidR="00D01077" w:rsidRPr="00E15A2C" w:rsidRDefault="00D01077" w:rsidP="00AD6CFC">
            <w:pPr>
              <w:spacing w:beforeLines="50" w:before="120"/>
              <w:ind w:left="0" w:firstLine="0"/>
              <w:jc w:val="both"/>
              <w:rPr>
                <w:rFonts w:ascii="Times New Roman" w:eastAsia="宋体" w:hAnsi="Times New Roman"/>
                <w:color w:val="000000"/>
                <w:sz w:val="21"/>
                <w:szCs w:val="21"/>
                <w:lang w:eastAsia="zh-CN"/>
              </w:rPr>
            </w:pPr>
            <w:r w:rsidRPr="00E15A2C">
              <w:rPr>
                <w:rFonts w:ascii="Times New Roman" w:eastAsia="宋体" w:hAnsi="Times New Roman"/>
                <w:color w:val="000000"/>
                <w:sz w:val="21"/>
                <w:szCs w:val="21"/>
                <w:lang w:eastAsia="zh-CN"/>
              </w:rPr>
              <w:t>For dual UL, if UE supports concurrent transmission on all band pairs and supports up to 2 ports UL transmission on all the bands in the band combination, all possible switching cases with 1T-1T and 2T are assumed</w:t>
            </w:r>
          </w:p>
          <w:p w14:paraId="5D32592F" w14:textId="77777777" w:rsidR="00D01077" w:rsidRPr="00E15A2C" w:rsidRDefault="00D01077" w:rsidP="00D01077">
            <w:pPr>
              <w:pStyle w:val="aff0"/>
              <w:numPr>
                <w:ilvl w:val="0"/>
                <w:numId w:val="35"/>
              </w:numPr>
              <w:overflowPunct w:val="0"/>
              <w:autoSpaceDE w:val="0"/>
              <w:autoSpaceDN w:val="0"/>
              <w:adjustRightInd w:val="0"/>
              <w:spacing w:after="180"/>
              <w:ind w:leftChars="0"/>
              <w:contextualSpacing/>
              <w:textAlignment w:val="baseline"/>
              <w:rPr>
                <w:sz w:val="21"/>
                <w:szCs w:val="21"/>
                <w:lang w:val="fr-FR"/>
              </w:rPr>
            </w:pPr>
            <w:r w:rsidRPr="00E15A2C">
              <w:rPr>
                <w:sz w:val="21"/>
                <w:szCs w:val="21"/>
                <w:lang w:val="fr-FR"/>
              </w:rPr>
              <w:t>In case of 3 bands, 6 switching cases ({2T,0T,0T}, {0T,2T,0T}, {0T,0T,2T}, {1T, 1T, 0T}, {1T, 0T, 1T}, {0T, 1T, 1T}) are assumed.</w:t>
            </w:r>
          </w:p>
          <w:p w14:paraId="6F9456D5" w14:textId="77777777" w:rsidR="00D01077" w:rsidRPr="00E15A2C" w:rsidRDefault="00D01077" w:rsidP="00D01077">
            <w:pPr>
              <w:pStyle w:val="aff0"/>
              <w:numPr>
                <w:ilvl w:val="0"/>
                <w:numId w:val="35"/>
              </w:numPr>
              <w:overflowPunct w:val="0"/>
              <w:autoSpaceDE w:val="0"/>
              <w:autoSpaceDN w:val="0"/>
              <w:adjustRightInd w:val="0"/>
              <w:spacing w:after="180"/>
              <w:ind w:leftChars="0"/>
              <w:contextualSpacing/>
              <w:textAlignment w:val="baseline"/>
              <w:rPr>
                <w:sz w:val="21"/>
                <w:szCs w:val="21"/>
                <w:lang w:val="de-DE"/>
              </w:rPr>
            </w:pPr>
            <w:r w:rsidRPr="00E15A2C">
              <w:rPr>
                <w:sz w:val="21"/>
                <w:szCs w:val="21"/>
                <w:lang w:val="de-DE"/>
              </w:rPr>
              <w:t>In case of 4 bands, 10 switching cases ({2T,0T,0T,0T}, {0T,2T,0T,0T}, {0T,0T,2T,0T}, {0T,0T,0T,2T}, {1T,1T,0T,0T}, {1T,0T,1T,0T}, {1T,0T,0T,1T}, {0T,1T,1T,0T}, {0T,1T,0T,1T}, {0T,0T,1T,1T}) are assumed.</w:t>
            </w:r>
          </w:p>
          <w:p w14:paraId="28D425C3" w14:textId="77777777" w:rsidR="00D01077" w:rsidRPr="00E15A2C" w:rsidRDefault="00D01077" w:rsidP="00D01077">
            <w:pPr>
              <w:rPr>
                <w:sz w:val="21"/>
                <w:szCs w:val="21"/>
                <w:highlight w:val="green"/>
                <w:lang w:eastAsia="x-none"/>
              </w:rPr>
            </w:pPr>
            <w:r w:rsidRPr="00E15A2C">
              <w:rPr>
                <w:sz w:val="21"/>
                <w:szCs w:val="21"/>
                <w:highlight w:val="green"/>
                <w:lang w:eastAsia="x-none"/>
              </w:rPr>
              <w:t>Agreement:</w:t>
            </w:r>
          </w:p>
          <w:p w14:paraId="6DB97165" w14:textId="77777777" w:rsidR="00D01077" w:rsidRPr="00E15A2C" w:rsidRDefault="00D01077" w:rsidP="00AD6CFC">
            <w:pPr>
              <w:spacing w:beforeLines="50" w:before="120"/>
              <w:ind w:left="0" w:firstLine="0"/>
              <w:jc w:val="both"/>
              <w:rPr>
                <w:rFonts w:ascii="Times New Roman" w:eastAsia="宋体" w:hAnsi="Times New Roman"/>
                <w:color w:val="000000"/>
                <w:sz w:val="21"/>
                <w:szCs w:val="21"/>
                <w:lang w:eastAsia="zh-CN"/>
              </w:rPr>
            </w:pPr>
            <w:r w:rsidRPr="00E15A2C">
              <w:rPr>
                <w:rFonts w:ascii="Times New Roman" w:eastAsia="宋体" w:hAnsi="Times New Roman"/>
                <w:color w:val="000000"/>
                <w:sz w:val="21"/>
                <w:szCs w:val="21"/>
                <w:lang w:eastAsia="zh-CN"/>
              </w:rPr>
              <w:t>For dual UL, if UE supports up to 2 ports UL transmission only on some of the bands in the band combination, corresponding switching case(s) with 2T for the band where up to 2 ports transmission is not supported are assumed</w:t>
            </w:r>
          </w:p>
          <w:p w14:paraId="7E401B6F" w14:textId="77777777" w:rsidR="00D01077" w:rsidRPr="00E15A2C" w:rsidRDefault="00D01077" w:rsidP="00D01077">
            <w:pPr>
              <w:pStyle w:val="aff0"/>
              <w:numPr>
                <w:ilvl w:val="0"/>
                <w:numId w:val="36"/>
              </w:numPr>
              <w:overflowPunct w:val="0"/>
              <w:autoSpaceDE w:val="0"/>
              <w:autoSpaceDN w:val="0"/>
              <w:adjustRightInd w:val="0"/>
              <w:spacing w:after="180"/>
              <w:ind w:leftChars="0"/>
              <w:contextualSpacing/>
              <w:textAlignment w:val="baseline"/>
              <w:rPr>
                <w:sz w:val="21"/>
                <w:szCs w:val="21"/>
              </w:rPr>
            </w:pPr>
            <w:r w:rsidRPr="00E15A2C">
              <w:rPr>
                <w:sz w:val="21"/>
                <w:szCs w:val="21"/>
              </w:rPr>
              <w:t>If the UE does not support concurrent transmission on specific band pair(s) in the band combination, corresponding switching case(s) with 1T-1T for the band pair(s) where concurrent transmission is not supported are not assumed</w:t>
            </w:r>
          </w:p>
          <w:p w14:paraId="7C697951" w14:textId="77777777" w:rsidR="00D01077" w:rsidRPr="00E15A2C" w:rsidRDefault="00D01077" w:rsidP="00D01077">
            <w:pPr>
              <w:rPr>
                <w:sz w:val="21"/>
                <w:szCs w:val="21"/>
                <w:highlight w:val="green"/>
                <w:lang w:eastAsia="x-none"/>
              </w:rPr>
            </w:pPr>
            <w:r w:rsidRPr="00E15A2C">
              <w:rPr>
                <w:sz w:val="21"/>
                <w:szCs w:val="21"/>
                <w:highlight w:val="green"/>
                <w:lang w:eastAsia="x-none"/>
              </w:rPr>
              <w:t>Agreement:</w:t>
            </w:r>
          </w:p>
          <w:p w14:paraId="75600C56" w14:textId="77777777" w:rsidR="00D01077" w:rsidRPr="00E15A2C" w:rsidRDefault="00D01077" w:rsidP="00D01077">
            <w:pPr>
              <w:rPr>
                <w:sz w:val="21"/>
                <w:szCs w:val="21"/>
              </w:rPr>
            </w:pPr>
            <w:r w:rsidRPr="00E15A2C">
              <w:rPr>
                <w:sz w:val="21"/>
                <w:szCs w:val="21"/>
              </w:rPr>
              <w:t>Following new conditions are applicable to dual UL only (i.e., not applicable to switched UL)</w:t>
            </w:r>
          </w:p>
          <w:p w14:paraId="00C63F73" w14:textId="77777777" w:rsidR="00D01077" w:rsidRPr="00E15A2C" w:rsidRDefault="00D01077" w:rsidP="00D01077">
            <w:pPr>
              <w:pStyle w:val="aff0"/>
              <w:numPr>
                <w:ilvl w:val="0"/>
                <w:numId w:val="34"/>
              </w:numPr>
              <w:overflowPunct w:val="0"/>
              <w:autoSpaceDE w:val="0"/>
              <w:autoSpaceDN w:val="0"/>
              <w:adjustRightInd w:val="0"/>
              <w:spacing w:after="180"/>
              <w:ind w:leftChars="0"/>
              <w:contextualSpacing/>
              <w:textAlignment w:val="baseline"/>
              <w:rPr>
                <w:sz w:val="21"/>
                <w:szCs w:val="21"/>
              </w:rPr>
            </w:pPr>
            <w:r w:rsidRPr="00E15A2C">
              <w:rPr>
                <w:sz w:val="21"/>
                <w:szCs w:val="21"/>
              </w:rPr>
              <w:lastRenderedPageBreak/>
              <w:t xml:space="preserve">When the UE is to transmit a 1-port or 2-port transmission on one uplink carrier on one band (1st band) and if Tx chain state at the preceding uplink transmission is 1T + 1T each on a carrier on other different bands (2nd and 3rd band) </w:t>
            </w:r>
          </w:p>
          <w:p w14:paraId="507CCA29" w14:textId="77777777" w:rsidR="00D01077" w:rsidRPr="00E15A2C" w:rsidRDefault="00D01077" w:rsidP="00D01077">
            <w:pPr>
              <w:pStyle w:val="aff0"/>
              <w:numPr>
                <w:ilvl w:val="0"/>
                <w:numId w:val="34"/>
              </w:numPr>
              <w:overflowPunct w:val="0"/>
              <w:autoSpaceDE w:val="0"/>
              <w:autoSpaceDN w:val="0"/>
              <w:adjustRightInd w:val="0"/>
              <w:spacing w:after="180"/>
              <w:ind w:leftChars="0"/>
              <w:contextualSpacing/>
              <w:textAlignment w:val="baseline"/>
              <w:rPr>
                <w:sz w:val="21"/>
                <w:szCs w:val="21"/>
              </w:rPr>
            </w:pPr>
            <w:r w:rsidRPr="00E15A2C">
              <w:rPr>
                <w:sz w:val="21"/>
                <w:szCs w:val="21"/>
              </w:rPr>
              <w:t xml:space="preserve">When the UE is to transmit a 1-port + 1-port transmission each on one uplink carrier on different bands (1st and 2nd band) and if Tx chain state at the preceding uplink transmission is 2T on a carrier on another band (3rd band) </w:t>
            </w:r>
          </w:p>
          <w:p w14:paraId="5E646740" w14:textId="77777777" w:rsidR="00D01077" w:rsidRPr="00E15A2C" w:rsidRDefault="00D01077" w:rsidP="00D01077">
            <w:pPr>
              <w:pStyle w:val="aff0"/>
              <w:numPr>
                <w:ilvl w:val="0"/>
                <w:numId w:val="34"/>
              </w:numPr>
              <w:overflowPunct w:val="0"/>
              <w:autoSpaceDE w:val="0"/>
              <w:autoSpaceDN w:val="0"/>
              <w:adjustRightInd w:val="0"/>
              <w:spacing w:after="180"/>
              <w:ind w:leftChars="0"/>
              <w:contextualSpacing/>
              <w:textAlignment w:val="baseline"/>
              <w:rPr>
                <w:sz w:val="21"/>
                <w:szCs w:val="21"/>
              </w:rPr>
            </w:pPr>
            <w:r w:rsidRPr="00E15A2C">
              <w:rPr>
                <w:sz w:val="21"/>
                <w:szCs w:val="21"/>
              </w:rPr>
              <w:t>When the UE is to transmit a 1-port + 1-port transmission each on one uplink carrier on different bands (1st and 2nd band) and if Tx chain state at the preceding uplink transmission is 1T + 1T each on a carrier on one of the bands and another different band (1st or 2nd band, and 3rd band)</w:t>
            </w:r>
          </w:p>
          <w:p w14:paraId="4CD9FE2E" w14:textId="77777777" w:rsidR="00D01077" w:rsidRPr="00E15A2C" w:rsidRDefault="00D01077" w:rsidP="00D01077">
            <w:pPr>
              <w:pStyle w:val="aff0"/>
              <w:numPr>
                <w:ilvl w:val="0"/>
                <w:numId w:val="34"/>
              </w:numPr>
              <w:overflowPunct w:val="0"/>
              <w:autoSpaceDE w:val="0"/>
              <w:autoSpaceDN w:val="0"/>
              <w:adjustRightInd w:val="0"/>
              <w:spacing w:after="180"/>
              <w:ind w:leftChars="0"/>
              <w:contextualSpacing/>
              <w:textAlignment w:val="baseline"/>
              <w:rPr>
                <w:sz w:val="21"/>
                <w:szCs w:val="21"/>
              </w:rPr>
            </w:pPr>
            <w:r w:rsidRPr="00E15A2C">
              <w:rPr>
                <w:sz w:val="21"/>
                <w:szCs w:val="21"/>
              </w:rPr>
              <w:t>When the UE is to transmit a 1-port + 1-port transmission each on one uplink carrier on different bands (1st and 2nd band) and if Tx chain state at the preceding uplink transmission is 1T + 1T each on a carrier on other different bands (3rd and 4th band)</w:t>
            </w:r>
          </w:p>
          <w:p w14:paraId="03FD075F" w14:textId="77777777" w:rsidR="00D01077" w:rsidRPr="00E15A2C" w:rsidRDefault="00D01077" w:rsidP="00D01077">
            <w:pPr>
              <w:rPr>
                <w:sz w:val="21"/>
                <w:szCs w:val="21"/>
                <w:highlight w:val="green"/>
                <w:lang w:eastAsia="x-none"/>
              </w:rPr>
            </w:pPr>
            <w:r w:rsidRPr="00E15A2C">
              <w:rPr>
                <w:sz w:val="21"/>
                <w:szCs w:val="21"/>
                <w:highlight w:val="green"/>
                <w:lang w:eastAsia="x-none"/>
              </w:rPr>
              <w:t>Agreement:</w:t>
            </w:r>
          </w:p>
          <w:p w14:paraId="1D1084BB" w14:textId="77777777" w:rsidR="00D01077" w:rsidRPr="00E15A2C" w:rsidRDefault="00D01077" w:rsidP="00D01077">
            <w:pPr>
              <w:rPr>
                <w:rFonts w:ascii="Times New Roman" w:eastAsia="MS Mincho" w:hAnsi="Times New Roman"/>
                <w:sz w:val="21"/>
                <w:szCs w:val="21"/>
              </w:rPr>
            </w:pPr>
            <w:r w:rsidRPr="00E15A2C">
              <w:rPr>
                <w:rFonts w:ascii="Times New Roman" w:eastAsia="MS Mincho" w:hAnsi="Times New Roman"/>
                <w:sz w:val="21"/>
                <w:szCs w:val="21"/>
              </w:rPr>
              <w:t>Following working assumption is confirmed with updates.</w:t>
            </w:r>
          </w:p>
          <w:p w14:paraId="1DC0BCC6" w14:textId="77777777" w:rsidR="00D01077" w:rsidRPr="00E15A2C" w:rsidRDefault="00D01077" w:rsidP="00E15A2C">
            <w:pPr>
              <w:ind w:leftChars="3" w:left="1446"/>
              <w:rPr>
                <w:rFonts w:ascii="Times New Roman" w:hAnsi="Times New Roman"/>
                <w:sz w:val="21"/>
                <w:szCs w:val="21"/>
              </w:rPr>
            </w:pPr>
            <w:r w:rsidRPr="00E15A2C">
              <w:rPr>
                <w:rFonts w:ascii="Times New Roman" w:hAnsi="Times New Roman"/>
                <w:sz w:val="21"/>
                <w:szCs w:val="21"/>
                <w:highlight w:val="darkYellow"/>
              </w:rPr>
              <w:t>Working Assumption</w:t>
            </w:r>
          </w:p>
          <w:p w14:paraId="0616AC4F" w14:textId="77777777" w:rsidR="00D01077" w:rsidRPr="00E15A2C" w:rsidRDefault="00D01077" w:rsidP="00E15A2C">
            <w:pPr>
              <w:ind w:leftChars="4" w:left="8" w:firstLine="0"/>
              <w:rPr>
                <w:rFonts w:ascii="Times New Roman" w:hAnsi="Times New Roman"/>
                <w:sz w:val="21"/>
                <w:szCs w:val="21"/>
              </w:rPr>
            </w:pPr>
            <w:r w:rsidRPr="00E15A2C">
              <w:rPr>
                <w:rFonts w:ascii="Times New Roman" w:hAnsi="Times New Roman"/>
                <w:strike/>
                <w:color w:val="FF0000"/>
                <w:sz w:val="21"/>
                <w:szCs w:val="21"/>
              </w:rPr>
              <w:t xml:space="preserve">At least </w:t>
            </w:r>
            <w:r w:rsidRPr="00E15A2C">
              <w:rPr>
                <w:rFonts w:ascii="Times New Roman" w:hAnsi="Times New Roman"/>
                <w:sz w:val="21"/>
                <w:szCs w:val="21"/>
              </w:rPr>
              <w:t>for dual UL, reuse existing RRC parameter {oneT, twoT} via uplinkTxSwitching-DualUL-TxState to solve the issue on ambiguous switching state at least for following cases</w:t>
            </w:r>
          </w:p>
          <w:p w14:paraId="2EDD04E7" w14:textId="77777777" w:rsidR="00D01077" w:rsidRPr="00E15A2C" w:rsidRDefault="00D01077" w:rsidP="00D01077">
            <w:pPr>
              <w:pStyle w:val="aff0"/>
              <w:numPr>
                <w:ilvl w:val="0"/>
                <w:numId w:val="33"/>
              </w:numPr>
              <w:overflowPunct w:val="0"/>
              <w:autoSpaceDE w:val="0"/>
              <w:autoSpaceDN w:val="0"/>
              <w:adjustRightInd w:val="0"/>
              <w:spacing w:after="180"/>
              <w:ind w:leftChars="0" w:left="1440"/>
              <w:contextualSpacing/>
              <w:textAlignment w:val="baseline"/>
              <w:rPr>
                <w:sz w:val="21"/>
                <w:szCs w:val="21"/>
              </w:rPr>
            </w:pPr>
            <w:r w:rsidRPr="00E15A2C">
              <w:rPr>
                <w:sz w:val="21"/>
                <w:szCs w:val="21"/>
              </w:rPr>
              <w:t>Case#1 of the issue: two Tx chains are currently associated with band A, and next transmission is 1 port transmission on band B, but there are multiple possible switching cases where 1P on band B is supported</w:t>
            </w:r>
          </w:p>
          <w:p w14:paraId="7011E037" w14:textId="77777777" w:rsidR="00D01077" w:rsidRPr="00E15A2C" w:rsidRDefault="00D01077" w:rsidP="00D01077">
            <w:pPr>
              <w:pStyle w:val="aff0"/>
              <w:numPr>
                <w:ilvl w:val="1"/>
                <w:numId w:val="33"/>
              </w:numPr>
              <w:overflowPunct w:val="0"/>
              <w:autoSpaceDE w:val="0"/>
              <w:autoSpaceDN w:val="0"/>
              <w:adjustRightInd w:val="0"/>
              <w:spacing w:after="180"/>
              <w:ind w:leftChars="0" w:left="2160"/>
              <w:contextualSpacing/>
              <w:textAlignment w:val="baseline"/>
              <w:rPr>
                <w:sz w:val="21"/>
                <w:szCs w:val="21"/>
              </w:rPr>
            </w:pPr>
            <w:r w:rsidRPr="00E15A2C">
              <w:rPr>
                <w:sz w:val="21"/>
                <w:szCs w:val="21"/>
              </w:rPr>
              <w:t>if twoT is indicated, both of two Tx chains are switched to band B</w:t>
            </w:r>
          </w:p>
          <w:p w14:paraId="78D39710" w14:textId="77777777" w:rsidR="00D01077" w:rsidRPr="00E15A2C" w:rsidRDefault="00D01077" w:rsidP="00D01077">
            <w:pPr>
              <w:pStyle w:val="aff0"/>
              <w:numPr>
                <w:ilvl w:val="1"/>
                <w:numId w:val="33"/>
              </w:numPr>
              <w:overflowPunct w:val="0"/>
              <w:autoSpaceDE w:val="0"/>
              <w:autoSpaceDN w:val="0"/>
              <w:adjustRightInd w:val="0"/>
              <w:spacing w:after="180"/>
              <w:ind w:leftChars="0" w:left="2160"/>
              <w:contextualSpacing/>
              <w:textAlignment w:val="baseline"/>
              <w:rPr>
                <w:sz w:val="21"/>
                <w:szCs w:val="21"/>
              </w:rPr>
            </w:pPr>
            <w:r w:rsidRPr="00E15A2C">
              <w:rPr>
                <w:sz w:val="21"/>
                <w:szCs w:val="21"/>
              </w:rPr>
              <w:t>if oneT is indicated, one Tx chain is switched to band B while another Tx chain remains on band A</w:t>
            </w:r>
          </w:p>
          <w:p w14:paraId="68572F08" w14:textId="77777777" w:rsidR="00D01077" w:rsidRPr="00E15A2C" w:rsidRDefault="00D01077" w:rsidP="00D01077">
            <w:pPr>
              <w:pStyle w:val="aff0"/>
              <w:numPr>
                <w:ilvl w:val="0"/>
                <w:numId w:val="37"/>
              </w:numPr>
              <w:tabs>
                <w:tab w:val="clear" w:pos="0"/>
                <w:tab w:val="num" w:pos="720"/>
              </w:tabs>
              <w:overflowPunct w:val="0"/>
              <w:autoSpaceDE w:val="0"/>
              <w:autoSpaceDN w:val="0"/>
              <w:adjustRightInd w:val="0"/>
              <w:spacing w:after="180"/>
              <w:ind w:leftChars="0" w:left="1571"/>
              <w:contextualSpacing/>
              <w:textAlignment w:val="baseline"/>
              <w:rPr>
                <w:sz w:val="21"/>
                <w:szCs w:val="21"/>
              </w:rPr>
            </w:pPr>
            <w:r w:rsidRPr="00E15A2C">
              <w:rPr>
                <w:sz w:val="21"/>
                <w:szCs w:val="21"/>
              </w:rPr>
              <w:t>Case#2 of the issue: two Tx chains are currently associated with band A and B, and next transmission is 1 port transmission on band C, but there are multiple possible switching cases where 1P on band C is supported</w:t>
            </w:r>
          </w:p>
          <w:p w14:paraId="73B4273C" w14:textId="77777777" w:rsidR="00D01077" w:rsidRPr="00E15A2C" w:rsidRDefault="00D01077" w:rsidP="00D01077">
            <w:pPr>
              <w:pStyle w:val="aff0"/>
              <w:numPr>
                <w:ilvl w:val="1"/>
                <w:numId w:val="33"/>
              </w:numPr>
              <w:overflowPunct w:val="0"/>
              <w:autoSpaceDE w:val="0"/>
              <w:autoSpaceDN w:val="0"/>
              <w:adjustRightInd w:val="0"/>
              <w:spacing w:after="180"/>
              <w:ind w:leftChars="0" w:left="2160"/>
              <w:contextualSpacing/>
              <w:textAlignment w:val="baseline"/>
              <w:rPr>
                <w:sz w:val="21"/>
                <w:szCs w:val="21"/>
              </w:rPr>
            </w:pPr>
            <w:r w:rsidRPr="00E15A2C">
              <w:rPr>
                <w:sz w:val="21"/>
                <w:szCs w:val="21"/>
              </w:rPr>
              <w:t>if twoT is indicated, both of two Tx chains are switched to band C</w:t>
            </w:r>
          </w:p>
          <w:p w14:paraId="61522720" w14:textId="77777777" w:rsidR="00D01077" w:rsidRPr="00E15A2C" w:rsidRDefault="00D01077" w:rsidP="00D01077">
            <w:pPr>
              <w:pStyle w:val="aff0"/>
              <w:numPr>
                <w:ilvl w:val="1"/>
                <w:numId w:val="33"/>
              </w:numPr>
              <w:overflowPunct w:val="0"/>
              <w:autoSpaceDE w:val="0"/>
              <w:autoSpaceDN w:val="0"/>
              <w:adjustRightInd w:val="0"/>
              <w:spacing w:after="180"/>
              <w:ind w:leftChars="0" w:left="2160"/>
              <w:contextualSpacing/>
              <w:textAlignment w:val="baseline"/>
              <w:rPr>
                <w:sz w:val="21"/>
                <w:szCs w:val="21"/>
              </w:rPr>
            </w:pPr>
            <w:r w:rsidRPr="00E15A2C">
              <w:rPr>
                <w:sz w:val="21"/>
                <w:szCs w:val="21"/>
              </w:rPr>
              <w:t xml:space="preserve">if oneT is indicated, one Tx chain is switched to band C while how to determine the associated band for another Tx chain is </w:t>
            </w:r>
            <w:r w:rsidRPr="00E15A2C">
              <w:rPr>
                <w:strike/>
                <w:color w:val="FF0000"/>
                <w:sz w:val="21"/>
                <w:szCs w:val="21"/>
              </w:rPr>
              <w:t>FFS</w:t>
            </w:r>
          </w:p>
          <w:p w14:paraId="27B3DA0F" w14:textId="4E5C8295" w:rsidR="00D01077" w:rsidRPr="00E15A2C" w:rsidRDefault="009E1846" w:rsidP="00D01077">
            <w:pPr>
              <w:pStyle w:val="aff0"/>
              <w:numPr>
                <w:ilvl w:val="2"/>
                <w:numId w:val="33"/>
              </w:numPr>
              <w:overflowPunct w:val="0"/>
              <w:autoSpaceDE w:val="0"/>
              <w:autoSpaceDN w:val="0"/>
              <w:adjustRightInd w:val="0"/>
              <w:spacing w:after="180"/>
              <w:ind w:leftChars="0" w:left="2880"/>
              <w:contextualSpacing/>
              <w:textAlignment w:val="baseline"/>
              <w:rPr>
                <w:sz w:val="21"/>
                <w:szCs w:val="21"/>
              </w:rPr>
            </w:pPr>
            <w:r w:rsidRPr="00E15A2C">
              <w:rPr>
                <w:strike/>
                <w:color w:val="FF0000"/>
                <w:sz w:val="21"/>
                <w:szCs w:val="21"/>
              </w:rPr>
              <w:t>Alt.</w:t>
            </w:r>
            <w:r w:rsidR="00D01077" w:rsidRPr="00E15A2C">
              <w:rPr>
                <w:strike/>
                <w:color w:val="FF0000"/>
                <w:sz w:val="21"/>
                <w:szCs w:val="21"/>
              </w:rPr>
              <w:t xml:space="preserve">1: </w:t>
            </w:r>
            <w:r w:rsidR="00D01077" w:rsidRPr="00E15A2C">
              <w:rPr>
                <w:sz w:val="21"/>
                <w:szCs w:val="21"/>
              </w:rPr>
              <w:t xml:space="preserve">based on </w:t>
            </w:r>
            <w:r w:rsidR="00D01077" w:rsidRPr="00E15A2C">
              <w:rPr>
                <w:strike/>
                <w:color w:val="FF0000"/>
                <w:sz w:val="21"/>
                <w:szCs w:val="21"/>
              </w:rPr>
              <w:t xml:space="preserve">gNB’s configuration/indication e.g., </w:t>
            </w:r>
            <w:r w:rsidR="00D01077" w:rsidRPr="00E15A2C">
              <w:rPr>
                <w:sz w:val="21"/>
                <w:szCs w:val="21"/>
              </w:rPr>
              <w:t>new RRC parameter</w:t>
            </w:r>
          </w:p>
          <w:p w14:paraId="39C12659" w14:textId="03DB3D63" w:rsidR="00D01077" w:rsidRPr="00E15A2C" w:rsidRDefault="009E1846" w:rsidP="00D01077">
            <w:pPr>
              <w:pStyle w:val="aff0"/>
              <w:numPr>
                <w:ilvl w:val="2"/>
                <w:numId w:val="33"/>
              </w:numPr>
              <w:overflowPunct w:val="0"/>
              <w:autoSpaceDE w:val="0"/>
              <w:autoSpaceDN w:val="0"/>
              <w:adjustRightInd w:val="0"/>
              <w:spacing w:after="180"/>
              <w:ind w:leftChars="0" w:left="2880"/>
              <w:contextualSpacing/>
              <w:textAlignment w:val="baseline"/>
              <w:rPr>
                <w:sz w:val="21"/>
                <w:szCs w:val="21"/>
              </w:rPr>
            </w:pPr>
            <w:r w:rsidRPr="00E15A2C">
              <w:rPr>
                <w:strike/>
                <w:color w:val="FF0000"/>
                <w:sz w:val="21"/>
                <w:szCs w:val="21"/>
              </w:rPr>
              <w:t>Alt.</w:t>
            </w:r>
            <w:r w:rsidR="00D01077" w:rsidRPr="00E15A2C">
              <w:rPr>
                <w:strike/>
                <w:color w:val="FF0000"/>
                <w:sz w:val="21"/>
                <w:szCs w:val="21"/>
              </w:rPr>
              <w:t>2: based on predefined rule</w:t>
            </w:r>
          </w:p>
          <w:p w14:paraId="41E90750" w14:textId="77777777" w:rsidR="00D01077" w:rsidRPr="00E15A2C" w:rsidRDefault="00D01077" w:rsidP="00D01077">
            <w:pPr>
              <w:pStyle w:val="aff0"/>
              <w:numPr>
                <w:ilvl w:val="2"/>
                <w:numId w:val="33"/>
              </w:numPr>
              <w:overflowPunct w:val="0"/>
              <w:autoSpaceDE w:val="0"/>
              <w:autoSpaceDN w:val="0"/>
              <w:adjustRightInd w:val="0"/>
              <w:spacing w:after="180"/>
              <w:ind w:leftChars="0" w:left="2880"/>
              <w:contextualSpacing/>
              <w:textAlignment w:val="baseline"/>
              <w:rPr>
                <w:sz w:val="21"/>
                <w:szCs w:val="21"/>
              </w:rPr>
            </w:pPr>
            <w:r w:rsidRPr="00E15A2C">
              <w:rPr>
                <w:strike/>
                <w:color w:val="FF0000"/>
                <w:sz w:val="21"/>
                <w:szCs w:val="21"/>
              </w:rPr>
              <w:t>Other alternative is not precluded</w:t>
            </w:r>
          </w:p>
          <w:p w14:paraId="23CA5FE1" w14:textId="77777777" w:rsidR="00D01077" w:rsidRPr="00E15A2C" w:rsidRDefault="00D01077" w:rsidP="00D01077">
            <w:pPr>
              <w:pStyle w:val="aff0"/>
              <w:numPr>
                <w:ilvl w:val="0"/>
                <w:numId w:val="37"/>
              </w:numPr>
              <w:tabs>
                <w:tab w:val="clear" w:pos="0"/>
                <w:tab w:val="num" w:pos="720"/>
              </w:tabs>
              <w:overflowPunct w:val="0"/>
              <w:autoSpaceDE w:val="0"/>
              <w:autoSpaceDN w:val="0"/>
              <w:adjustRightInd w:val="0"/>
              <w:spacing w:after="180"/>
              <w:ind w:leftChars="0" w:left="1571"/>
              <w:contextualSpacing/>
              <w:textAlignment w:val="baseline"/>
              <w:rPr>
                <w:strike/>
                <w:color w:val="FF0000"/>
                <w:sz w:val="21"/>
                <w:szCs w:val="21"/>
              </w:rPr>
            </w:pPr>
            <w:r w:rsidRPr="00E15A2C">
              <w:rPr>
                <w:strike/>
                <w:color w:val="FF0000"/>
                <w:sz w:val="21"/>
                <w:szCs w:val="21"/>
              </w:rPr>
              <w:t>FFS for other potential cases</w:t>
            </w:r>
          </w:p>
          <w:p w14:paraId="25CD1015" w14:textId="77777777" w:rsidR="00D01077" w:rsidRPr="00E15A2C" w:rsidRDefault="00D01077" w:rsidP="00D01077">
            <w:pPr>
              <w:rPr>
                <w:rFonts w:ascii="Times New Roman" w:hAnsi="Times New Roman"/>
                <w:sz w:val="21"/>
                <w:szCs w:val="21"/>
              </w:rPr>
            </w:pPr>
          </w:p>
          <w:p w14:paraId="46EECB32" w14:textId="77777777" w:rsidR="00D01077" w:rsidRPr="00E15A2C" w:rsidRDefault="00D01077" w:rsidP="00D01077">
            <w:pPr>
              <w:rPr>
                <w:sz w:val="21"/>
                <w:szCs w:val="21"/>
                <w:highlight w:val="green"/>
                <w:lang w:eastAsia="x-none"/>
              </w:rPr>
            </w:pPr>
            <w:r w:rsidRPr="00E15A2C">
              <w:rPr>
                <w:sz w:val="21"/>
                <w:szCs w:val="21"/>
                <w:highlight w:val="green"/>
                <w:lang w:eastAsia="x-none"/>
              </w:rPr>
              <w:t>Agreement:</w:t>
            </w:r>
          </w:p>
          <w:p w14:paraId="51F627A3" w14:textId="77777777" w:rsidR="00D01077" w:rsidRPr="00E15A2C" w:rsidRDefault="00D01077" w:rsidP="00AD6CFC">
            <w:pPr>
              <w:spacing w:beforeLines="50" w:before="120"/>
              <w:ind w:left="0" w:firstLine="0"/>
              <w:jc w:val="both"/>
              <w:rPr>
                <w:rFonts w:ascii="Times New Roman" w:eastAsia="宋体" w:hAnsi="Times New Roman"/>
                <w:color w:val="000000"/>
                <w:sz w:val="21"/>
                <w:szCs w:val="21"/>
                <w:lang w:eastAsia="zh-CN"/>
              </w:rPr>
            </w:pPr>
            <w:r w:rsidRPr="00E15A2C">
              <w:rPr>
                <w:rFonts w:ascii="Times New Roman" w:eastAsia="宋体" w:hAnsi="Times New Roman"/>
                <w:color w:val="000000"/>
                <w:sz w:val="21"/>
                <w:szCs w:val="21"/>
                <w:lang w:eastAsia="zh-CN"/>
              </w:rPr>
              <w:t>In Case#2 where two Tx chains are currently associated with band A and B, and next transmission is 1 port transmission on band C, if oneT is indicated via uplinkTxSwitching-DualUL-TxState, one Tx chain is switched to band C and associated band for another Tx chain is determined by new RRC parameter which is down-selected from following alternatives.</w:t>
            </w:r>
          </w:p>
          <w:p w14:paraId="6B5B7653" w14:textId="77777777" w:rsidR="00D01077" w:rsidRPr="00E15A2C" w:rsidRDefault="00D01077" w:rsidP="00D01077">
            <w:pPr>
              <w:pStyle w:val="aff0"/>
              <w:numPr>
                <w:ilvl w:val="0"/>
                <w:numId w:val="38"/>
              </w:numPr>
              <w:overflowPunct w:val="0"/>
              <w:autoSpaceDE w:val="0"/>
              <w:autoSpaceDN w:val="0"/>
              <w:adjustRightInd w:val="0"/>
              <w:ind w:leftChars="0" w:hanging="357"/>
              <w:contextualSpacing/>
              <w:textAlignment w:val="baseline"/>
              <w:rPr>
                <w:rFonts w:eastAsia="MS Mincho"/>
                <w:sz w:val="21"/>
                <w:szCs w:val="21"/>
              </w:rPr>
            </w:pPr>
            <w:r w:rsidRPr="00E15A2C">
              <w:rPr>
                <w:rFonts w:eastAsia="MS Mincho"/>
                <w:sz w:val="21"/>
                <w:szCs w:val="21"/>
              </w:rPr>
              <w:t>An associated band is configured for each band so that another Tx chain is associated with the configured band (as associated band for the transmitting band)</w:t>
            </w:r>
          </w:p>
          <w:p w14:paraId="2ED72D63" w14:textId="77777777" w:rsidR="00D01077" w:rsidRPr="00E15A2C" w:rsidRDefault="00D01077" w:rsidP="00D01077">
            <w:pPr>
              <w:pStyle w:val="aff0"/>
              <w:numPr>
                <w:ilvl w:val="1"/>
                <w:numId w:val="38"/>
              </w:numPr>
              <w:overflowPunct w:val="0"/>
              <w:autoSpaceDE w:val="0"/>
              <w:autoSpaceDN w:val="0"/>
              <w:adjustRightInd w:val="0"/>
              <w:ind w:leftChars="0" w:hanging="357"/>
              <w:contextualSpacing/>
              <w:textAlignment w:val="baseline"/>
              <w:rPr>
                <w:rFonts w:eastAsia="MS Mincho"/>
                <w:sz w:val="21"/>
                <w:szCs w:val="21"/>
              </w:rPr>
            </w:pPr>
            <w:r w:rsidRPr="00E15A2C">
              <w:rPr>
                <w:rFonts w:eastAsia="MS Mincho"/>
                <w:sz w:val="21"/>
                <w:szCs w:val="21"/>
              </w:rPr>
              <w:t xml:space="preserve">E.g., associated band for each transmitting band is configured as {B for A}, {A for B}, {A for C} and {C for D}. </w:t>
            </w:r>
          </w:p>
          <w:p w14:paraId="0FF503B6" w14:textId="77777777" w:rsidR="00D01077" w:rsidRPr="00E15A2C" w:rsidRDefault="00D01077" w:rsidP="00D01077">
            <w:pPr>
              <w:pStyle w:val="aff0"/>
              <w:numPr>
                <w:ilvl w:val="2"/>
                <w:numId w:val="38"/>
              </w:numPr>
              <w:overflowPunct w:val="0"/>
              <w:autoSpaceDE w:val="0"/>
              <w:autoSpaceDN w:val="0"/>
              <w:adjustRightInd w:val="0"/>
              <w:ind w:leftChars="0" w:hanging="357"/>
              <w:contextualSpacing/>
              <w:textAlignment w:val="baseline"/>
              <w:rPr>
                <w:rFonts w:eastAsia="MS Mincho"/>
                <w:sz w:val="21"/>
                <w:szCs w:val="21"/>
              </w:rPr>
            </w:pPr>
            <w:r w:rsidRPr="00E15A2C">
              <w:rPr>
                <w:rFonts w:eastAsia="MS Mincho"/>
                <w:sz w:val="21"/>
                <w:szCs w:val="21"/>
              </w:rPr>
              <w:t>When 1 port transmission on band C is scheduled and Tx chains are currently associated with band A and B, Tx chain associated with band B is switched to band C while another Tx chain associated with band A remains unchanged (because band A is associated band for band C)</w:t>
            </w:r>
          </w:p>
          <w:p w14:paraId="459C214D" w14:textId="77777777" w:rsidR="00D01077" w:rsidRPr="00E15A2C" w:rsidRDefault="00D01077" w:rsidP="00D01077">
            <w:pPr>
              <w:pStyle w:val="aff0"/>
              <w:numPr>
                <w:ilvl w:val="2"/>
                <w:numId w:val="38"/>
              </w:numPr>
              <w:overflowPunct w:val="0"/>
              <w:autoSpaceDE w:val="0"/>
              <w:autoSpaceDN w:val="0"/>
              <w:adjustRightInd w:val="0"/>
              <w:ind w:leftChars="0" w:hanging="357"/>
              <w:contextualSpacing/>
              <w:textAlignment w:val="baseline"/>
              <w:rPr>
                <w:rFonts w:eastAsia="MS Mincho"/>
                <w:sz w:val="21"/>
                <w:szCs w:val="21"/>
              </w:rPr>
            </w:pPr>
            <w:r w:rsidRPr="00E15A2C">
              <w:rPr>
                <w:rFonts w:eastAsia="MS Mincho"/>
                <w:sz w:val="21"/>
                <w:szCs w:val="21"/>
              </w:rPr>
              <w:t>When 1 port transmission on band D is scheduled and Tx chains are currently associated with band A and B, Tx chain associated with band A (or B) is switched to band D while another Tx chain associated with band B (or A) is switched to band C (because band C is associated band for band D)</w:t>
            </w:r>
          </w:p>
          <w:p w14:paraId="11B66C0E" w14:textId="77777777" w:rsidR="00D01077" w:rsidRPr="00E15A2C" w:rsidRDefault="00D01077" w:rsidP="00AD6CFC">
            <w:pPr>
              <w:spacing w:beforeLines="50" w:before="120"/>
              <w:ind w:left="0" w:firstLine="0"/>
              <w:jc w:val="both"/>
              <w:rPr>
                <w:rFonts w:ascii="Times New Roman" w:eastAsia="宋体" w:hAnsi="Times New Roman"/>
                <w:color w:val="000000"/>
                <w:sz w:val="21"/>
                <w:szCs w:val="21"/>
                <w:lang w:eastAsia="zh-CN"/>
              </w:rPr>
            </w:pPr>
            <w:r w:rsidRPr="00E15A2C">
              <w:rPr>
                <w:rFonts w:ascii="Times New Roman" w:eastAsia="宋体" w:hAnsi="Times New Roman"/>
                <w:color w:val="000000"/>
                <w:sz w:val="21"/>
                <w:szCs w:val="21"/>
                <w:lang w:eastAsia="zh-CN"/>
              </w:rPr>
              <w:t>If there is one band where concurrent transmission with any other band is not supported, NW does not configure an associated band for the band. In such case, even if oneT is configured, UE performs switching as twoT is configured when 1 port transmission on the band is scheduled</w:t>
            </w:r>
          </w:p>
          <w:p w14:paraId="4BF22BC9" w14:textId="77777777" w:rsidR="00D01077" w:rsidRPr="00E15A2C" w:rsidRDefault="00D01077" w:rsidP="00D01077">
            <w:pPr>
              <w:rPr>
                <w:sz w:val="21"/>
                <w:szCs w:val="21"/>
                <w:highlight w:val="green"/>
                <w:lang w:eastAsia="x-none"/>
              </w:rPr>
            </w:pPr>
            <w:r w:rsidRPr="00E15A2C">
              <w:rPr>
                <w:sz w:val="21"/>
                <w:szCs w:val="21"/>
                <w:highlight w:val="green"/>
                <w:lang w:eastAsia="x-none"/>
              </w:rPr>
              <w:t>Agreement:</w:t>
            </w:r>
          </w:p>
          <w:p w14:paraId="24869E14" w14:textId="77777777" w:rsidR="00D01077" w:rsidRPr="00E15A2C" w:rsidRDefault="00D01077" w:rsidP="00AD6CFC">
            <w:pPr>
              <w:spacing w:beforeLines="50" w:before="120"/>
              <w:ind w:left="0" w:firstLine="0"/>
              <w:jc w:val="both"/>
              <w:rPr>
                <w:rFonts w:ascii="Times New Roman" w:eastAsia="宋体" w:hAnsi="Times New Roman"/>
                <w:color w:val="000000"/>
                <w:sz w:val="21"/>
                <w:szCs w:val="21"/>
                <w:lang w:eastAsia="zh-CN"/>
              </w:rPr>
            </w:pPr>
            <w:r w:rsidRPr="00E15A2C">
              <w:rPr>
                <w:rFonts w:ascii="Times New Roman" w:eastAsia="宋体" w:hAnsi="Times New Roman"/>
                <w:color w:val="000000"/>
                <w:sz w:val="21"/>
                <w:szCs w:val="21"/>
                <w:lang w:eastAsia="zh-CN"/>
              </w:rPr>
              <w:lastRenderedPageBreak/>
              <w:t>There is no restriction on number of bands supporting up to 2 ports UL transmission for both switched UL and dual UL and for both 3 bands and 4 bands.</w:t>
            </w:r>
          </w:p>
          <w:p w14:paraId="5B6B39DC" w14:textId="77777777" w:rsidR="00D01077" w:rsidRPr="00E15A2C" w:rsidRDefault="00D01077" w:rsidP="00D01077">
            <w:pPr>
              <w:pStyle w:val="aff0"/>
              <w:numPr>
                <w:ilvl w:val="0"/>
                <w:numId w:val="38"/>
              </w:numPr>
              <w:overflowPunct w:val="0"/>
              <w:autoSpaceDE w:val="0"/>
              <w:autoSpaceDN w:val="0"/>
              <w:adjustRightInd w:val="0"/>
              <w:spacing w:after="180"/>
              <w:ind w:leftChars="0"/>
              <w:contextualSpacing/>
              <w:textAlignment w:val="baseline"/>
              <w:rPr>
                <w:rFonts w:eastAsia="MS Mincho"/>
                <w:sz w:val="21"/>
                <w:szCs w:val="21"/>
              </w:rPr>
            </w:pPr>
            <w:r w:rsidRPr="00E15A2C">
              <w:rPr>
                <w:rFonts w:eastAsia="MS Mincho"/>
                <w:sz w:val="21"/>
                <w:szCs w:val="21"/>
              </w:rPr>
              <w:t>It is up to UE capability to support 2 ports UL transmission on none/some/all of the 3 or 4 bands</w:t>
            </w:r>
          </w:p>
          <w:p w14:paraId="3B978989" w14:textId="77777777" w:rsidR="00D01077" w:rsidRPr="00E15A2C" w:rsidRDefault="00D01077" w:rsidP="00D01077">
            <w:pPr>
              <w:pStyle w:val="aff0"/>
              <w:numPr>
                <w:ilvl w:val="0"/>
                <w:numId w:val="38"/>
              </w:numPr>
              <w:overflowPunct w:val="0"/>
              <w:autoSpaceDE w:val="0"/>
              <w:autoSpaceDN w:val="0"/>
              <w:adjustRightInd w:val="0"/>
              <w:spacing w:after="180"/>
              <w:ind w:leftChars="0"/>
              <w:contextualSpacing/>
              <w:textAlignment w:val="baseline"/>
              <w:rPr>
                <w:rFonts w:eastAsia="MS Mincho"/>
                <w:sz w:val="21"/>
                <w:szCs w:val="21"/>
              </w:rPr>
            </w:pPr>
            <w:r w:rsidRPr="00E15A2C">
              <w:rPr>
                <w:rFonts w:eastAsia="MS Mincho"/>
                <w:sz w:val="21"/>
                <w:szCs w:val="21"/>
              </w:rPr>
              <w:t>Note: UE with only 1 Tx chain is not expected to perform UL Tx switching (no spec impact)</w:t>
            </w:r>
          </w:p>
          <w:p w14:paraId="3560E98D" w14:textId="77777777" w:rsidR="00D01077" w:rsidRPr="00E15A2C" w:rsidRDefault="00D01077" w:rsidP="00D01077">
            <w:pPr>
              <w:rPr>
                <w:rFonts w:ascii="Times New Roman" w:hAnsi="Times New Roman"/>
                <w:sz w:val="21"/>
                <w:szCs w:val="21"/>
                <w:highlight w:val="green"/>
                <w:lang w:eastAsia="x-none"/>
              </w:rPr>
            </w:pPr>
            <w:r w:rsidRPr="00E15A2C">
              <w:rPr>
                <w:rFonts w:ascii="Times New Roman" w:hAnsi="Times New Roman"/>
                <w:sz w:val="21"/>
                <w:szCs w:val="21"/>
                <w:highlight w:val="green"/>
                <w:lang w:eastAsia="x-none"/>
              </w:rPr>
              <w:t>Agreement</w:t>
            </w:r>
          </w:p>
          <w:p w14:paraId="61EC9712" w14:textId="77777777" w:rsidR="00D01077" w:rsidRPr="00E15A2C" w:rsidRDefault="00D01077" w:rsidP="00D01077">
            <w:pPr>
              <w:jc w:val="both"/>
              <w:rPr>
                <w:rFonts w:ascii="Times New Roman" w:eastAsia="MS Mincho" w:hAnsi="Times New Roman"/>
                <w:sz w:val="21"/>
                <w:szCs w:val="21"/>
              </w:rPr>
            </w:pPr>
            <w:r w:rsidRPr="00E15A2C">
              <w:rPr>
                <w:rFonts w:ascii="Times New Roman" w:eastAsia="MS Mincho" w:hAnsi="Times New Roman"/>
                <w:sz w:val="21"/>
                <w:szCs w:val="21"/>
              </w:rPr>
              <w:t>Confirm the following working assumption.</w:t>
            </w:r>
          </w:p>
          <w:p w14:paraId="4C6C6701" w14:textId="77777777" w:rsidR="00D01077" w:rsidRPr="00E15A2C" w:rsidRDefault="00D01077" w:rsidP="00E15A2C">
            <w:pPr>
              <w:ind w:leftChars="57" w:left="1554"/>
              <w:rPr>
                <w:rFonts w:ascii="Times New Roman" w:hAnsi="Times New Roman"/>
                <w:sz w:val="21"/>
                <w:szCs w:val="21"/>
              </w:rPr>
            </w:pPr>
            <w:r w:rsidRPr="00E15A2C">
              <w:rPr>
                <w:rFonts w:ascii="Times New Roman" w:hAnsi="Times New Roman"/>
                <w:sz w:val="21"/>
                <w:szCs w:val="21"/>
                <w:highlight w:val="darkYellow"/>
              </w:rPr>
              <w:t>Working Assumption</w:t>
            </w:r>
          </w:p>
          <w:p w14:paraId="75B8668E" w14:textId="77777777" w:rsidR="00D01077" w:rsidRPr="00E15A2C" w:rsidRDefault="00D01077" w:rsidP="00E15A2C">
            <w:pPr>
              <w:ind w:leftChars="57" w:left="1554"/>
              <w:jc w:val="both"/>
              <w:rPr>
                <w:rFonts w:ascii="Times New Roman" w:eastAsia="MS Mincho" w:hAnsi="Times New Roman"/>
                <w:bCs/>
                <w:sz w:val="21"/>
                <w:szCs w:val="21"/>
              </w:rPr>
            </w:pPr>
            <w:r w:rsidRPr="00E15A2C">
              <w:rPr>
                <w:rFonts w:ascii="Times New Roman" w:hAnsi="Times New Roman"/>
                <w:bCs/>
                <w:sz w:val="21"/>
                <w:szCs w:val="21"/>
              </w:rPr>
              <w:t>Specify UL Tx switching schemes across up to 4 bands in Rel-18</w:t>
            </w:r>
          </w:p>
          <w:p w14:paraId="3E434395" w14:textId="77777777" w:rsidR="00D01077" w:rsidRPr="00E15A2C" w:rsidRDefault="00D01077" w:rsidP="00D01077">
            <w:pPr>
              <w:tabs>
                <w:tab w:val="left" w:pos="3165"/>
              </w:tabs>
              <w:jc w:val="both"/>
              <w:rPr>
                <w:rFonts w:ascii="Times New Roman" w:eastAsia="MS Mincho" w:hAnsi="Times New Roman"/>
                <w:sz w:val="21"/>
                <w:szCs w:val="21"/>
              </w:rPr>
            </w:pPr>
          </w:p>
          <w:p w14:paraId="3584777B" w14:textId="77777777" w:rsidR="00D01077" w:rsidRPr="00E15A2C" w:rsidRDefault="00D01077" w:rsidP="00D01077">
            <w:pPr>
              <w:rPr>
                <w:rFonts w:ascii="Times New Roman" w:hAnsi="Times New Roman"/>
                <w:sz w:val="21"/>
                <w:szCs w:val="21"/>
                <w:highlight w:val="green"/>
                <w:lang w:eastAsia="x-none"/>
              </w:rPr>
            </w:pPr>
            <w:r w:rsidRPr="00E15A2C">
              <w:rPr>
                <w:rFonts w:ascii="Times New Roman" w:hAnsi="Times New Roman"/>
                <w:sz w:val="21"/>
                <w:szCs w:val="21"/>
                <w:highlight w:val="green"/>
                <w:lang w:eastAsia="x-none"/>
              </w:rPr>
              <w:t>Agreement</w:t>
            </w:r>
          </w:p>
          <w:p w14:paraId="35E8870C" w14:textId="77777777" w:rsidR="00D01077" w:rsidRPr="00E15A2C" w:rsidRDefault="00D01077" w:rsidP="00D01077">
            <w:pPr>
              <w:jc w:val="both"/>
              <w:rPr>
                <w:rFonts w:ascii="Times New Roman" w:eastAsia="宋体" w:hAnsi="Times New Roman"/>
                <w:sz w:val="21"/>
                <w:szCs w:val="21"/>
                <w:lang w:eastAsia="zh-CN"/>
              </w:rPr>
            </w:pPr>
            <w:r w:rsidRPr="00E15A2C">
              <w:rPr>
                <w:rFonts w:ascii="Times New Roman" w:eastAsia="宋体" w:hAnsi="Times New Roman"/>
                <w:sz w:val="21"/>
                <w:szCs w:val="21"/>
                <w:lang w:val="en-US" w:eastAsia="zh-CN"/>
              </w:rPr>
              <w:t>Following restrictions are applied for Rel-18 UL Tx switching across 3 or 4 bands.</w:t>
            </w:r>
          </w:p>
          <w:p w14:paraId="34919746" w14:textId="77777777" w:rsidR="00D01077" w:rsidRPr="00E15A2C" w:rsidRDefault="00D01077" w:rsidP="00D01077">
            <w:pPr>
              <w:numPr>
                <w:ilvl w:val="0"/>
                <w:numId w:val="39"/>
              </w:numPr>
              <w:jc w:val="both"/>
              <w:rPr>
                <w:rFonts w:ascii="Times New Roman" w:eastAsia="MS Mincho" w:hAnsi="Times New Roman"/>
                <w:sz w:val="21"/>
                <w:szCs w:val="21"/>
                <w:lang w:val="en-AU" w:eastAsia="x-none"/>
              </w:rPr>
            </w:pPr>
            <w:r w:rsidRPr="00E15A2C">
              <w:rPr>
                <w:rFonts w:ascii="Times New Roman" w:eastAsia="MS Mincho" w:hAnsi="Times New Roman"/>
                <w:sz w:val="21"/>
                <w:szCs w:val="21"/>
                <w:lang w:val="en-AU" w:eastAsia="x-none"/>
              </w:rPr>
              <w:t>The UE does not expect to perform more than one uplink switching within a reference slot based on µ</w:t>
            </w:r>
            <w:r w:rsidRPr="00E15A2C">
              <w:rPr>
                <w:rFonts w:ascii="Times New Roman" w:eastAsia="MS Mincho" w:hAnsi="Times New Roman"/>
                <w:sz w:val="21"/>
                <w:szCs w:val="21"/>
                <w:vertAlign w:val="subscript"/>
                <w:lang w:val="en-AU" w:eastAsia="x-none"/>
              </w:rPr>
              <w:t>UL</w:t>
            </w:r>
            <w:r w:rsidRPr="00E15A2C">
              <w:rPr>
                <w:rFonts w:ascii="Times New Roman" w:eastAsia="MS Mincho" w:hAnsi="Times New Roman"/>
                <w:sz w:val="21"/>
                <w:szCs w:val="21"/>
                <w:lang w:val="en-AU" w:eastAsia="x-none"/>
              </w:rPr>
              <w:t> = max(µ</w:t>
            </w:r>
            <w:r w:rsidRPr="00E15A2C">
              <w:rPr>
                <w:rFonts w:ascii="Times New Roman" w:eastAsia="MS Mincho" w:hAnsi="Times New Roman"/>
                <w:sz w:val="21"/>
                <w:szCs w:val="21"/>
                <w:vertAlign w:val="subscript"/>
                <w:lang w:val="en-AU" w:eastAsia="x-none"/>
              </w:rPr>
              <w:t>UL, 1</w:t>
            </w:r>
            <w:r w:rsidRPr="00E15A2C">
              <w:rPr>
                <w:rFonts w:ascii="Times New Roman" w:eastAsia="MS Mincho" w:hAnsi="Times New Roman"/>
                <w:sz w:val="21"/>
                <w:szCs w:val="21"/>
                <w:lang w:val="en-AU" w:eastAsia="x-none"/>
              </w:rPr>
              <w:t>, µ</w:t>
            </w:r>
            <w:r w:rsidRPr="00E15A2C">
              <w:rPr>
                <w:rFonts w:ascii="Times New Roman" w:eastAsia="MS Mincho" w:hAnsi="Times New Roman"/>
                <w:sz w:val="21"/>
                <w:szCs w:val="21"/>
                <w:vertAlign w:val="subscript"/>
                <w:lang w:val="en-AU" w:eastAsia="x-none"/>
              </w:rPr>
              <w:t>UL, 2</w:t>
            </w:r>
            <w:r w:rsidRPr="00E15A2C">
              <w:rPr>
                <w:rFonts w:ascii="Times New Roman" w:eastAsia="MS Mincho" w:hAnsi="Times New Roman"/>
                <w:sz w:val="21"/>
                <w:szCs w:val="21"/>
                <w:lang w:val="en-AU" w:eastAsia="x-none"/>
              </w:rPr>
              <w:t>, µ</w:t>
            </w:r>
            <w:r w:rsidRPr="00E15A2C">
              <w:rPr>
                <w:rFonts w:ascii="Times New Roman" w:eastAsia="MS Mincho" w:hAnsi="Times New Roman"/>
                <w:sz w:val="21"/>
                <w:szCs w:val="21"/>
                <w:vertAlign w:val="subscript"/>
                <w:lang w:val="en-AU" w:eastAsia="x-none"/>
              </w:rPr>
              <w:t>UL, 3</w:t>
            </w:r>
            <w:r w:rsidRPr="00E15A2C">
              <w:rPr>
                <w:rFonts w:ascii="Times New Roman" w:eastAsia="MS Mincho" w:hAnsi="Times New Roman"/>
                <w:sz w:val="21"/>
                <w:szCs w:val="21"/>
                <w:lang w:val="en-AU" w:eastAsia="x-none"/>
              </w:rPr>
              <w:t>) in case of 3 bands, µ</w:t>
            </w:r>
            <w:r w:rsidRPr="00E15A2C">
              <w:rPr>
                <w:rFonts w:ascii="Times New Roman" w:eastAsia="MS Mincho" w:hAnsi="Times New Roman"/>
                <w:sz w:val="21"/>
                <w:szCs w:val="21"/>
                <w:vertAlign w:val="subscript"/>
                <w:lang w:val="en-AU" w:eastAsia="x-none"/>
              </w:rPr>
              <w:t>UL</w:t>
            </w:r>
            <w:r w:rsidRPr="00E15A2C">
              <w:rPr>
                <w:rFonts w:ascii="Times New Roman" w:eastAsia="MS Mincho" w:hAnsi="Times New Roman"/>
                <w:sz w:val="21"/>
                <w:szCs w:val="21"/>
                <w:lang w:val="en-AU" w:eastAsia="x-none"/>
              </w:rPr>
              <w:t> = max(µ</w:t>
            </w:r>
            <w:r w:rsidRPr="00E15A2C">
              <w:rPr>
                <w:rFonts w:ascii="Times New Roman" w:eastAsia="MS Mincho" w:hAnsi="Times New Roman"/>
                <w:sz w:val="21"/>
                <w:szCs w:val="21"/>
                <w:vertAlign w:val="subscript"/>
                <w:lang w:val="en-AU" w:eastAsia="x-none"/>
              </w:rPr>
              <w:t>UL, 1</w:t>
            </w:r>
            <w:r w:rsidRPr="00E15A2C">
              <w:rPr>
                <w:rFonts w:ascii="Times New Roman" w:eastAsia="MS Mincho" w:hAnsi="Times New Roman"/>
                <w:sz w:val="21"/>
                <w:szCs w:val="21"/>
                <w:lang w:val="en-AU" w:eastAsia="x-none"/>
              </w:rPr>
              <w:t>, µ</w:t>
            </w:r>
            <w:r w:rsidRPr="00E15A2C">
              <w:rPr>
                <w:rFonts w:ascii="Times New Roman" w:eastAsia="MS Mincho" w:hAnsi="Times New Roman"/>
                <w:sz w:val="21"/>
                <w:szCs w:val="21"/>
                <w:vertAlign w:val="subscript"/>
                <w:lang w:val="en-AU" w:eastAsia="x-none"/>
              </w:rPr>
              <w:t>UL, 2</w:t>
            </w:r>
            <w:r w:rsidRPr="00E15A2C">
              <w:rPr>
                <w:rFonts w:ascii="Times New Roman" w:eastAsia="MS Mincho" w:hAnsi="Times New Roman"/>
                <w:sz w:val="21"/>
                <w:szCs w:val="21"/>
                <w:lang w:val="en-AU" w:eastAsia="x-none"/>
              </w:rPr>
              <w:t>, µ</w:t>
            </w:r>
            <w:r w:rsidRPr="00E15A2C">
              <w:rPr>
                <w:rFonts w:ascii="Times New Roman" w:eastAsia="MS Mincho" w:hAnsi="Times New Roman"/>
                <w:sz w:val="21"/>
                <w:szCs w:val="21"/>
                <w:vertAlign w:val="subscript"/>
                <w:lang w:val="en-AU" w:eastAsia="x-none"/>
              </w:rPr>
              <w:t>UL, 3</w:t>
            </w:r>
            <w:r w:rsidRPr="00E15A2C">
              <w:rPr>
                <w:rFonts w:ascii="Times New Roman" w:eastAsia="MS Mincho" w:hAnsi="Times New Roman"/>
                <w:sz w:val="21"/>
                <w:szCs w:val="21"/>
                <w:lang w:val="en-AU" w:eastAsia="x-none"/>
              </w:rPr>
              <w:t>, µ</w:t>
            </w:r>
            <w:r w:rsidRPr="00E15A2C">
              <w:rPr>
                <w:rFonts w:ascii="Times New Roman" w:eastAsia="MS Mincho" w:hAnsi="Times New Roman"/>
                <w:sz w:val="21"/>
                <w:szCs w:val="21"/>
                <w:vertAlign w:val="subscript"/>
                <w:lang w:val="en-AU" w:eastAsia="x-none"/>
              </w:rPr>
              <w:t>UL, 4</w:t>
            </w:r>
            <w:r w:rsidRPr="00E15A2C">
              <w:rPr>
                <w:rFonts w:ascii="Times New Roman" w:eastAsia="MS Mincho" w:hAnsi="Times New Roman"/>
                <w:sz w:val="21"/>
                <w:szCs w:val="21"/>
                <w:lang w:val="en-AU" w:eastAsia="x-none"/>
              </w:rPr>
              <w:t>) in case of 4 bands, where µ</w:t>
            </w:r>
            <w:r w:rsidRPr="00E15A2C">
              <w:rPr>
                <w:rFonts w:ascii="Times New Roman" w:eastAsia="MS Mincho" w:hAnsi="Times New Roman"/>
                <w:sz w:val="21"/>
                <w:szCs w:val="21"/>
                <w:vertAlign w:val="subscript"/>
                <w:lang w:val="en-AU" w:eastAsia="x-none"/>
              </w:rPr>
              <w:t>UL, 1</w:t>
            </w:r>
            <w:r w:rsidRPr="00E15A2C">
              <w:rPr>
                <w:rFonts w:ascii="Times New Roman" w:eastAsia="MS Mincho" w:hAnsi="Times New Roman"/>
                <w:sz w:val="21"/>
                <w:szCs w:val="21"/>
                <w:lang w:val="en-AU" w:eastAsia="x-none"/>
              </w:rPr>
              <w:t>, µ</w:t>
            </w:r>
            <w:r w:rsidRPr="00E15A2C">
              <w:rPr>
                <w:rFonts w:ascii="Times New Roman" w:eastAsia="MS Mincho" w:hAnsi="Times New Roman"/>
                <w:sz w:val="21"/>
                <w:szCs w:val="21"/>
                <w:vertAlign w:val="subscript"/>
                <w:lang w:val="en-AU" w:eastAsia="x-none"/>
              </w:rPr>
              <w:t>UL, 2</w:t>
            </w:r>
            <w:r w:rsidRPr="00E15A2C">
              <w:rPr>
                <w:rFonts w:ascii="Times New Roman" w:eastAsia="MS Mincho" w:hAnsi="Times New Roman"/>
                <w:sz w:val="21"/>
                <w:szCs w:val="21"/>
                <w:lang w:val="en-AU" w:eastAsia="x-none"/>
              </w:rPr>
              <w:t>, µ</w:t>
            </w:r>
            <w:r w:rsidRPr="00E15A2C">
              <w:rPr>
                <w:rFonts w:ascii="Times New Roman" w:eastAsia="MS Mincho" w:hAnsi="Times New Roman"/>
                <w:sz w:val="21"/>
                <w:szCs w:val="21"/>
                <w:vertAlign w:val="subscript"/>
                <w:lang w:val="en-AU" w:eastAsia="x-none"/>
              </w:rPr>
              <w:t>UL, 3</w:t>
            </w:r>
            <w:r w:rsidRPr="00E15A2C">
              <w:rPr>
                <w:rFonts w:ascii="Times New Roman" w:eastAsia="MS Mincho" w:hAnsi="Times New Roman"/>
                <w:sz w:val="21"/>
                <w:szCs w:val="21"/>
                <w:lang w:val="en-AU" w:eastAsia="x-none"/>
              </w:rPr>
              <w:t>, µ</w:t>
            </w:r>
            <w:r w:rsidRPr="00E15A2C">
              <w:rPr>
                <w:rFonts w:ascii="Times New Roman" w:eastAsia="MS Mincho" w:hAnsi="Times New Roman"/>
                <w:sz w:val="21"/>
                <w:szCs w:val="21"/>
                <w:vertAlign w:val="subscript"/>
                <w:lang w:val="en-AU" w:eastAsia="x-none"/>
              </w:rPr>
              <w:t>UL, 4</w:t>
            </w:r>
            <w:r w:rsidRPr="00E15A2C">
              <w:rPr>
                <w:rFonts w:ascii="Times New Roman" w:eastAsia="MS Mincho" w:hAnsi="Times New Roman"/>
                <w:sz w:val="21"/>
                <w:szCs w:val="21"/>
                <w:lang w:val="en-AU" w:eastAsia="x-none"/>
              </w:rPr>
              <w:t> are SCSs of active UL bandwidth parts of the bands in the band combination</w:t>
            </w:r>
          </w:p>
          <w:p w14:paraId="50652FF2" w14:textId="77777777" w:rsidR="00D01077" w:rsidRPr="00E15A2C" w:rsidRDefault="00D01077" w:rsidP="00D01077">
            <w:pPr>
              <w:numPr>
                <w:ilvl w:val="1"/>
                <w:numId w:val="39"/>
              </w:numPr>
              <w:tabs>
                <w:tab w:val="left" w:pos="840"/>
              </w:tabs>
              <w:jc w:val="both"/>
              <w:rPr>
                <w:rFonts w:ascii="Times New Roman" w:eastAsia="MS Mincho" w:hAnsi="Times New Roman"/>
                <w:sz w:val="21"/>
                <w:szCs w:val="21"/>
                <w:lang w:val="en-AU" w:eastAsia="x-none"/>
              </w:rPr>
            </w:pPr>
            <w:r w:rsidRPr="00E15A2C">
              <w:rPr>
                <w:rFonts w:ascii="Times New Roman" w:eastAsia="MS Mincho" w:hAnsi="Times New Roman"/>
                <w:sz w:val="21"/>
                <w:szCs w:val="21"/>
                <w:lang w:val="en-AU" w:eastAsia="x-none"/>
              </w:rPr>
              <w:t>If there are two consecutive intra-band carriers in one band, µ</w:t>
            </w:r>
            <w:r w:rsidRPr="00E15A2C">
              <w:rPr>
                <w:rFonts w:ascii="Times New Roman" w:eastAsia="MS Mincho" w:hAnsi="Times New Roman"/>
                <w:sz w:val="21"/>
                <w:szCs w:val="21"/>
                <w:vertAlign w:val="subscript"/>
                <w:lang w:val="en-AU" w:eastAsia="x-none"/>
              </w:rPr>
              <w:t>UL, 1</w:t>
            </w:r>
            <w:r w:rsidRPr="00E15A2C">
              <w:rPr>
                <w:rFonts w:ascii="Times New Roman" w:eastAsia="MS Mincho" w:hAnsi="Times New Roman"/>
                <w:sz w:val="21"/>
                <w:szCs w:val="21"/>
                <w:lang w:val="en-AU" w:eastAsia="x-none"/>
              </w:rPr>
              <w:t> = max(µ</w:t>
            </w:r>
            <w:r w:rsidRPr="00E15A2C">
              <w:rPr>
                <w:rFonts w:ascii="Times New Roman" w:eastAsia="MS Mincho" w:hAnsi="Times New Roman"/>
                <w:sz w:val="21"/>
                <w:szCs w:val="21"/>
                <w:vertAlign w:val="subscript"/>
                <w:lang w:val="en-AU" w:eastAsia="x-none"/>
              </w:rPr>
              <w:t>UL, 1-1</w:t>
            </w:r>
            <w:r w:rsidRPr="00E15A2C">
              <w:rPr>
                <w:rFonts w:ascii="Times New Roman" w:eastAsia="MS Mincho" w:hAnsi="Times New Roman"/>
                <w:sz w:val="21"/>
                <w:szCs w:val="21"/>
                <w:lang w:val="en-AU" w:eastAsia="x-none"/>
              </w:rPr>
              <w:t>, µ</w:t>
            </w:r>
            <w:r w:rsidRPr="00E15A2C">
              <w:rPr>
                <w:rFonts w:ascii="Times New Roman" w:eastAsia="MS Mincho" w:hAnsi="Times New Roman"/>
                <w:sz w:val="21"/>
                <w:szCs w:val="21"/>
                <w:vertAlign w:val="subscript"/>
                <w:lang w:val="en-AU" w:eastAsia="x-none"/>
              </w:rPr>
              <w:t>UL, 1-2</w:t>
            </w:r>
            <w:r w:rsidRPr="00E15A2C">
              <w:rPr>
                <w:rFonts w:ascii="Times New Roman" w:eastAsia="MS Mincho" w:hAnsi="Times New Roman"/>
                <w:sz w:val="21"/>
                <w:szCs w:val="21"/>
                <w:lang w:val="en-AU" w:eastAsia="x-none"/>
              </w:rPr>
              <w:t>), where µ</w:t>
            </w:r>
            <w:r w:rsidRPr="00E15A2C">
              <w:rPr>
                <w:rFonts w:ascii="Times New Roman" w:eastAsia="MS Mincho" w:hAnsi="Times New Roman"/>
                <w:sz w:val="21"/>
                <w:szCs w:val="21"/>
                <w:vertAlign w:val="subscript"/>
                <w:lang w:val="en-AU" w:eastAsia="x-none"/>
              </w:rPr>
              <w:t xml:space="preserve">UL, 1-1 </w:t>
            </w:r>
            <w:r w:rsidRPr="00E15A2C">
              <w:rPr>
                <w:rFonts w:ascii="Times New Roman" w:eastAsia="MS Mincho" w:hAnsi="Times New Roman"/>
                <w:sz w:val="21"/>
                <w:szCs w:val="21"/>
                <w:lang w:val="en-AU" w:eastAsia="x-none"/>
              </w:rPr>
              <w:t>and µ</w:t>
            </w:r>
            <w:r w:rsidRPr="00E15A2C">
              <w:rPr>
                <w:rFonts w:ascii="Times New Roman" w:eastAsia="MS Mincho" w:hAnsi="Times New Roman"/>
                <w:sz w:val="21"/>
                <w:szCs w:val="21"/>
                <w:vertAlign w:val="subscript"/>
                <w:lang w:val="en-AU" w:eastAsia="x-none"/>
              </w:rPr>
              <w:t>UL, 1-2</w:t>
            </w:r>
            <w:r w:rsidRPr="00E15A2C">
              <w:rPr>
                <w:rFonts w:ascii="Times New Roman" w:eastAsia="MS Mincho" w:hAnsi="Times New Roman"/>
                <w:sz w:val="21"/>
                <w:szCs w:val="21"/>
                <w:lang w:val="en-AU" w:eastAsia="x-none"/>
              </w:rPr>
              <w:t> are SCSs of active UL bandwidth parts of the carriers in the band</w:t>
            </w:r>
          </w:p>
          <w:p w14:paraId="54ED36BF" w14:textId="77777777" w:rsidR="00D01077" w:rsidRPr="00E15A2C" w:rsidRDefault="00D01077" w:rsidP="00D01077">
            <w:pPr>
              <w:numPr>
                <w:ilvl w:val="0"/>
                <w:numId w:val="39"/>
              </w:numPr>
              <w:jc w:val="both"/>
              <w:rPr>
                <w:rFonts w:ascii="Times New Roman" w:eastAsia="MS Mincho" w:hAnsi="Times New Roman"/>
                <w:sz w:val="21"/>
                <w:szCs w:val="21"/>
                <w:lang w:val="en-AU" w:eastAsia="x-none"/>
              </w:rPr>
            </w:pPr>
            <w:r w:rsidRPr="00E15A2C">
              <w:rPr>
                <w:rFonts w:ascii="Times New Roman" w:eastAsia="MS Mincho" w:hAnsi="Times New Roman"/>
                <w:sz w:val="21"/>
                <w:szCs w:val="21"/>
                <w:highlight w:val="darkYellow"/>
                <w:lang w:val="en-AU" w:eastAsia="x-none"/>
              </w:rPr>
              <w:t>(working assumption)</w:t>
            </w:r>
            <w:r w:rsidRPr="00E15A2C">
              <w:rPr>
                <w:rFonts w:ascii="Times New Roman" w:eastAsia="MS Mincho" w:hAnsi="Times New Roman"/>
                <w:sz w:val="21"/>
                <w:szCs w:val="21"/>
                <w:lang w:val="en-AU" w:eastAsia="x-none"/>
              </w:rPr>
              <w:t xml:space="preserve"> If two uplink switching are triggered and result in UL transmissions on more than 2 bands within any two consecutive reference slots, then the time duration between the end of </w:t>
            </w:r>
            <w:r w:rsidRPr="00E15A2C">
              <w:rPr>
                <w:rFonts w:ascii="Times New Roman" w:hAnsi="Times New Roman"/>
                <w:sz w:val="21"/>
                <w:szCs w:val="21"/>
                <w:lang w:eastAsia="x-none"/>
              </w:rPr>
              <w:t xml:space="preserve">all </w:t>
            </w:r>
            <w:r w:rsidRPr="00E15A2C">
              <w:rPr>
                <w:rFonts w:ascii="Times New Roman" w:eastAsia="MS Mincho" w:hAnsi="Times New Roman"/>
                <w:sz w:val="21"/>
                <w:szCs w:val="21"/>
                <w:lang w:val="en-AU" w:eastAsia="x-none"/>
              </w:rPr>
              <w:t>transmission</w:t>
            </w:r>
            <w:r w:rsidRPr="00E15A2C">
              <w:rPr>
                <w:rFonts w:ascii="Times New Roman" w:hAnsi="Times New Roman"/>
                <w:sz w:val="21"/>
                <w:szCs w:val="21"/>
                <w:lang w:eastAsia="x-none"/>
              </w:rPr>
              <w:t>(s) prior to the first uplink switching</w:t>
            </w:r>
            <w:r w:rsidRPr="00E15A2C">
              <w:rPr>
                <w:rFonts w:ascii="Times New Roman" w:eastAsia="MS Mincho" w:hAnsi="Times New Roman"/>
                <w:sz w:val="21"/>
                <w:szCs w:val="21"/>
                <w:lang w:val="en-AU" w:eastAsia="x-none"/>
              </w:rPr>
              <w:t xml:space="preserve"> and the start of </w:t>
            </w:r>
            <w:r w:rsidRPr="00E15A2C">
              <w:rPr>
                <w:rFonts w:ascii="Times New Roman" w:hAnsi="Times New Roman"/>
                <w:sz w:val="21"/>
                <w:szCs w:val="21"/>
                <w:lang w:eastAsia="x-none"/>
              </w:rPr>
              <w:t>all</w:t>
            </w:r>
            <w:r w:rsidRPr="00E15A2C">
              <w:rPr>
                <w:rFonts w:ascii="Times New Roman" w:eastAsia="MS Mincho" w:hAnsi="Times New Roman"/>
                <w:sz w:val="21"/>
                <w:szCs w:val="21"/>
                <w:lang w:val="en-AU" w:eastAsia="x-none"/>
              </w:rPr>
              <w:t xml:space="preserve"> transmission</w:t>
            </w:r>
            <w:r w:rsidRPr="00E15A2C">
              <w:rPr>
                <w:rFonts w:ascii="Times New Roman" w:hAnsi="Times New Roman"/>
                <w:sz w:val="21"/>
                <w:szCs w:val="21"/>
                <w:lang w:eastAsia="x-none"/>
              </w:rPr>
              <w:t>(s) after the second uplink switching</w:t>
            </w:r>
            <w:r w:rsidRPr="00E15A2C">
              <w:rPr>
                <w:rFonts w:ascii="Times New Roman" w:eastAsia="MS Mincho" w:hAnsi="Times New Roman"/>
                <w:sz w:val="21"/>
                <w:szCs w:val="21"/>
                <w:lang w:val="en-AU" w:eastAsia="x-none"/>
              </w:rPr>
              <w:t xml:space="preserve"> within the two reference slots is expected to be not less than a minimum separation time </w:t>
            </w:r>
          </w:p>
          <w:p w14:paraId="2B5A2371" w14:textId="77777777" w:rsidR="00D01077" w:rsidRPr="00E15A2C" w:rsidRDefault="00D01077" w:rsidP="00D01077">
            <w:pPr>
              <w:numPr>
                <w:ilvl w:val="1"/>
                <w:numId w:val="39"/>
              </w:numPr>
              <w:tabs>
                <w:tab w:val="left" w:pos="840"/>
              </w:tabs>
              <w:jc w:val="both"/>
              <w:rPr>
                <w:rFonts w:ascii="Times New Roman" w:eastAsia="MS Mincho" w:hAnsi="Times New Roman"/>
                <w:sz w:val="21"/>
                <w:szCs w:val="21"/>
                <w:lang w:val="en-AU" w:eastAsia="x-none"/>
              </w:rPr>
            </w:pPr>
            <w:r w:rsidRPr="00E15A2C">
              <w:rPr>
                <w:rFonts w:ascii="Times New Roman" w:eastAsia="MS Mincho" w:hAnsi="Times New Roman"/>
                <w:sz w:val="21"/>
                <w:szCs w:val="21"/>
                <w:lang w:val="en-AU" w:eastAsia="x-none"/>
              </w:rPr>
              <w:t xml:space="preserve">The minimum separation time is a sum of X us and the switching gap required for </w:t>
            </w:r>
            <w:r w:rsidRPr="00E15A2C">
              <w:rPr>
                <w:rFonts w:ascii="Times New Roman" w:hAnsi="Times New Roman"/>
                <w:sz w:val="21"/>
                <w:szCs w:val="21"/>
                <w:lang w:eastAsia="x-none"/>
              </w:rPr>
              <w:t>the second uplink switching</w:t>
            </w:r>
            <w:r w:rsidRPr="00E15A2C">
              <w:rPr>
                <w:rFonts w:ascii="Times New Roman" w:eastAsia="MS Mincho" w:hAnsi="Times New Roman"/>
                <w:sz w:val="21"/>
                <w:szCs w:val="21"/>
                <w:lang w:val="en-AU" w:eastAsia="x-none"/>
              </w:rPr>
              <w:t>.</w:t>
            </w:r>
          </w:p>
          <w:p w14:paraId="3C0E68AA" w14:textId="77777777" w:rsidR="00D01077" w:rsidRPr="00E15A2C" w:rsidRDefault="00D01077" w:rsidP="00D01077">
            <w:pPr>
              <w:numPr>
                <w:ilvl w:val="1"/>
                <w:numId w:val="39"/>
              </w:numPr>
              <w:tabs>
                <w:tab w:val="left" w:pos="840"/>
              </w:tabs>
              <w:jc w:val="both"/>
              <w:rPr>
                <w:rFonts w:ascii="Times New Roman" w:eastAsia="MS Mincho" w:hAnsi="Times New Roman"/>
                <w:sz w:val="21"/>
                <w:szCs w:val="21"/>
                <w:lang w:val="en-AU" w:eastAsia="x-none"/>
              </w:rPr>
            </w:pPr>
            <w:r w:rsidRPr="00E15A2C">
              <w:rPr>
                <w:rFonts w:ascii="Times New Roman" w:eastAsia="MS Mincho" w:hAnsi="Times New Roman"/>
                <w:sz w:val="21"/>
                <w:szCs w:val="21"/>
                <w:lang w:val="en-AU" w:eastAsia="x-none"/>
              </w:rPr>
              <w:t>X us is subject to UE capability with a value set of {0us, 500us}</w:t>
            </w:r>
          </w:p>
          <w:bookmarkEnd w:id="4"/>
          <w:p w14:paraId="21E1358A" w14:textId="2A69413A" w:rsidR="007A6B88" w:rsidRPr="00EE0712" w:rsidRDefault="007A6B88" w:rsidP="000A42E4">
            <w:pPr>
              <w:rPr>
                <w:rFonts w:ascii="Times New Roman" w:eastAsia="宋体" w:hAnsi="Times New Roman"/>
                <w:color w:val="000000"/>
                <w:sz w:val="21"/>
                <w:szCs w:val="21"/>
                <w:lang w:eastAsia="zh-CN"/>
              </w:rPr>
            </w:pPr>
          </w:p>
        </w:tc>
      </w:tr>
    </w:tbl>
    <w:p w14:paraId="75E2BAD8" w14:textId="571097C4" w:rsidR="007A6B88" w:rsidRPr="00081BC5" w:rsidRDefault="007A6B88" w:rsidP="00081BC5">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lastRenderedPageBreak/>
        <w:t>I</w:t>
      </w:r>
      <w:r>
        <w:rPr>
          <w:rFonts w:ascii="Times New Roman" w:eastAsia="宋体" w:hAnsi="Times New Roman"/>
          <w:color w:val="000000"/>
          <w:sz w:val="21"/>
          <w:szCs w:val="22"/>
          <w:lang w:eastAsia="zh-CN"/>
        </w:rPr>
        <w:t xml:space="preserve">n this contribution, we </w:t>
      </w:r>
      <w:r w:rsidR="00B307B3">
        <w:rPr>
          <w:rFonts w:ascii="Times New Roman" w:eastAsia="宋体" w:hAnsi="Times New Roman"/>
          <w:color w:val="000000"/>
          <w:sz w:val="21"/>
          <w:szCs w:val="22"/>
          <w:lang w:eastAsia="zh-CN"/>
        </w:rPr>
        <w:t>discuss the remaining issues on UL Tx switching across 3 or 4 bands and provide our views</w:t>
      </w:r>
      <w:r>
        <w:rPr>
          <w:rFonts w:ascii="Times New Roman" w:eastAsia="宋体" w:hAnsi="Times New Roman"/>
          <w:color w:val="000000"/>
          <w:sz w:val="21"/>
          <w:szCs w:val="22"/>
          <w:lang w:eastAsia="zh-CN"/>
        </w:rPr>
        <w:t>.</w:t>
      </w:r>
    </w:p>
    <w:p w14:paraId="337BE958" w14:textId="10055FBB" w:rsidR="00E265E1" w:rsidRDefault="00265D17" w:rsidP="00E265E1">
      <w:pPr>
        <w:pStyle w:val="1"/>
        <w:tabs>
          <w:tab w:val="clear" w:pos="432"/>
          <w:tab w:val="num" w:pos="0"/>
        </w:tabs>
        <w:ind w:left="426"/>
        <w:rPr>
          <w:rFonts w:eastAsia="宋体"/>
          <w:color w:val="000000"/>
          <w:lang w:eastAsia="zh-CN"/>
        </w:rPr>
      </w:pPr>
      <w:r w:rsidRPr="003B5F4D">
        <w:rPr>
          <w:rFonts w:eastAsia="宋体" w:hint="eastAsia"/>
          <w:color w:val="000000"/>
          <w:lang w:eastAsia="zh-CN"/>
        </w:rPr>
        <w:t>Discussion</w:t>
      </w:r>
    </w:p>
    <w:p w14:paraId="273A2D47" w14:textId="6D85629A" w:rsidR="00B84BA7" w:rsidRPr="004C29D5" w:rsidRDefault="00EE0712" w:rsidP="00EE0712">
      <w:pPr>
        <w:spacing w:afterLines="50" w:after="120"/>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In</w:t>
      </w:r>
      <w:r w:rsidRPr="004C29D5">
        <w:rPr>
          <w:rFonts w:ascii="Times New Roman" w:eastAsiaTheme="minorEastAsia" w:hAnsi="Times New Roman"/>
          <w:sz w:val="21"/>
          <w:szCs w:val="21"/>
          <w:lang w:eastAsia="zh-CN"/>
        </w:rPr>
        <w:t xml:space="preserve"> </w:t>
      </w:r>
      <w:r w:rsidR="00B84BA7" w:rsidRPr="004C29D5">
        <w:rPr>
          <w:rFonts w:ascii="Times New Roman" w:eastAsiaTheme="minorEastAsia" w:hAnsi="Times New Roman"/>
          <w:sz w:val="21"/>
          <w:szCs w:val="21"/>
          <w:lang w:eastAsia="zh-CN"/>
        </w:rPr>
        <w:t xml:space="preserve">RAN1#111 meeting, most of issues with the higher priority were resolved. </w:t>
      </w:r>
      <w:r>
        <w:rPr>
          <w:rFonts w:ascii="Times New Roman" w:eastAsiaTheme="minorEastAsia" w:hAnsi="Times New Roman"/>
          <w:sz w:val="21"/>
          <w:szCs w:val="21"/>
          <w:lang w:eastAsia="zh-CN"/>
        </w:rPr>
        <w:t>Regarding to the frequency of UL Tx switching, the basic idea is to reuse the current mechanism with extending 2 bands to 3 o</w:t>
      </w:r>
      <w:r w:rsidR="00E15A2C">
        <w:rPr>
          <w:rFonts w:ascii="Times New Roman" w:eastAsiaTheme="minorEastAsia" w:hAnsi="Times New Roman" w:hint="eastAsia"/>
          <w:sz w:val="21"/>
          <w:szCs w:val="21"/>
          <w:lang w:eastAsia="zh-CN"/>
        </w:rPr>
        <w:t>r</w:t>
      </w:r>
      <w:r>
        <w:rPr>
          <w:rFonts w:ascii="Times New Roman" w:eastAsiaTheme="minorEastAsia" w:hAnsi="Times New Roman"/>
          <w:sz w:val="21"/>
          <w:szCs w:val="21"/>
          <w:lang w:eastAsia="zh-CN"/>
        </w:rPr>
        <w:t xml:space="preserve"> 4 bands. Hence, frequent UL Tx switching at UE side can be avoided and UE complexity will not be increased.  </w:t>
      </w:r>
      <w:r w:rsidR="00AA7938">
        <w:rPr>
          <w:rFonts w:ascii="Times New Roman" w:eastAsiaTheme="minorEastAsia" w:hAnsi="Times New Roman"/>
          <w:sz w:val="21"/>
          <w:szCs w:val="21"/>
          <w:lang w:eastAsia="zh-CN"/>
        </w:rPr>
        <w:t xml:space="preserve">Another issue is how to avoid back-to-back UL Tx switching in two adjacent reference slot. After heated discussion, we come to a middle ground that UE report its capability on the minimum separation time between the first switching and second switching. </w:t>
      </w:r>
      <w:r w:rsidR="00B84BA7" w:rsidRPr="004C29D5">
        <w:rPr>
          <w:rFonts w:ascii="Times New Roman" w:eastAsiaTheme="minorEastAsia" w:hAnsi="Times New Roman"/>
          <w:sz w:val="21"/>
          <w:szCs w:val="21"/>
          <w:lang w:eastAsia="zh-CN"/>
        </w:rPr>
        <w:t xml:space="preserve">Considering there isn't much time left for </w:t>
      </w:r>
      <w:r w:rsidR="00D26B80" w:rsidRPr="004C29D5">
        <w:rPr>
          <w:rFonts w:ascii="Times New Roman" w:eastAsiaTheme="minorEastAsia" w:hAnsi="Times New Roman"/>
          <w:sz w:val="21"/>
          <w:szCs w:val="21"/>
          <w:lang w:eastAsia="zh-CN"/>
        </w:rPr>
        <w:t>Rel-18</w:t>
      </w:r>
      <w:r w:rsidR="00D26B80">
        <w:rPr>
          <w:rFonts w:ascii="Times New Roman" w:eastAsiaTheme="minorEastAsia" w:hAnsi="Times New Roman"/>
          <w:sz w:val="21"/>
          <w:szCs w:val="21"/>
          <w:lang w:eastAsia="zh-CN"/>
        </w:rPr>
        <w:t xml:space="preserve"> </w:t>
      </w:r>
      <w:r w:rsidR="00B84BA7" w:rsidRPr="004C29D5">
        <w:rPr>
          <w:rFonts w:ascii="Times New Roman" w:eastAsiaTheme="minorEastAsia" w:hAnsi="Times New Roman"/>
          <w:sz w:val="21"/>
          <w:szCs w:val="21"/>
          <w:lang w:eastAsia="zh-CN"/>
        </w:rPr>
        <w:t>UL Tx switching, it is fair to confirm the working assumption.</w:t>
      </w:r>
    </w:p>
    <w:p w14:paraId="7DE7B18A" w14:textId="2CBBBF6A" w:rsidR="00B84BA7" w:rsidRPr="00E15A2C" w:rsidRDefault="00B84BA7" w:rsidP="00B84BA7">
      <w:pPr>
        <w:ind w:left="0" w:firstLine="0"/>
        <w:rPr>
          <w:rFonts w:ascii="Times New Roman" w:hAnsi="Times New Roman"/>
          <w:b/>
          <w:bCs/>
          <w:i/>
          <w:sz w:val="21"/>
          <w:szCs w:val="20"/>
          <w:lang w:eastAsia="ja-JP"/>
        </w:rPr>
      </w:pPr>
      <w:r w:rsidRPr="00E15A2C">
        <w:rPr>
          <w:rFonts w:ascii="Times New Roman" w:hAnsi="Times New Roman"/>
          <w:b/>
          <w:bCs/>
          <w:i/>
          <w:sz w:val="21"/>
          <w:szCs w:val="20"/>
          <w:lang w:eastAsia="ja-JP"/>
        </w:rPr>
        <w:t>Proposal 1: Confirm the following working assumption achieved in RAN1#111 meeting.</w:t>
      </w:r>
    </w:p>
    <w:tbl>
      <w:tblPr>
        <w:tblStyle w:val="af1"/>
        <w:tblW w:w="0" w:type="auto"/>
        <w:tblLook w:val="04A0" w:firstRow="1" w:lastRow="0" w:firstColumn="1" w:lastColumn="0" w:noHBand="0" w:noVBand="1"/>
      </w:tblPr>
      <w:tblGrid>
        <w:gridCol w:w="9631"/>
      </w:tblGrid>
      <w:tr w:rsidR="00B84BA7" w14:paraId="0A5CC845" w14:textId="77777777" w:rsidTr="004D6EAB">
        <w:tc>
          <w:tcPr>
            <w:tcW w:w="9631" w:type="dxa"/>
          </w:tcPr>
          <w:p w14:paraId="3CE7D097" w14:textId="77777777" w:rsidR="00B84BA7" w:rsidRPr="00E15A2C" w:rsidRDefault="00B84BA7" w:rsidP="00B84BA7">
            <w:pPr>
              <w:numPr>
                <w:ilvl w:val="0"/>
                <w:numId w:val="39"/>
              </w:numPr>
              <w:jc w:val="both"/>
              <w:rPr>
                <w:rFonts w:ascii="Times New Roman" w:eastAsia="MS Mincho" w:hAnsi="Times New Roman"/>
                <w:sz w:val="21"/>
                <w:szCs w:val="20"/>
                <w:lang w:val="en-AU" w:eastAsia="x-none"/>
              </w:rPr>
            </w:pPr>
            <w:r w:rsidRPr="00E15A2C">
              <w:rPr>
                <w:rFonts w:ascii="Times New Roman" w:eastAsia="MS Mincho" w:hAnsi="Times New Roman"/>
                <w:sz w:val="21"/>
                <w:szCs w:val="20"/>
                <w:highlight w:val="darkYellow"/>
                <w:lang w:val="en-AU" w:eastAsia="x-none"/>
              </w:rPr>
              <w:t>(working assumption)</w:t>
            </w:r>
            <w:r w:rsidRPr="00E15A2C">
              <w:rPr>
                <w:rFonts w:ascii="Times New Roman" w:eastAsia="MS Mincho" w:hAnsi="Times New Roman"/>
                <w:sz w:val="21"/>
                <w:szCs w:val="20"/>
                <w:lang w:val="en-AU" w:eastAsia="x-none"/>
              </w:rPr>
              <w:t xml:space="preserve"> If two uplink switching are triggered and result in UL transmissions on more than 2 bands within any two consecutive reference slots, then the time duration between the end of </w:t>
            </w:r>
            <w:r w:rsidRPr="00E15A2C">
              <w:rPr>
                <w:rFonts w:ascii="Times New Roman" w:hAnsi="Times New Roman"/>
                <w:sz w:val="21"/>
                <w:szCs w:val="20"/>
                <w:lang w:eastAsia="x-none"/>
              </w:rPr>
              <w:t xml:space="preserve">all </w:t>
            </w:r>
            <w:r w:rsidRPr="00E15A2C">
              <w:rPr>
                <w:rFonts w:ascii="Times New Roman" w:eastAsia="MS Mincho" w:hAnsi="Times New Roman"/>
                <w:sz w:val="21"/>
                <w:szCs w:val="20"/>
                <w:lang w:val="en-AU" w:eastAsia="x-none"/>
              </w:rPr>
              <w:t>transmission</w:t>
            </w:r>
            <w:r w:rsidRPr="00E15A2C">
              <w:rPr>
                <w:rFonts w:ascii="Times New Roman" w:hAnsi="Times New Roman"/>
                <w:sz w:val="21"/>
                <w:szCs w:val="20"/>
                <w:lang w:eastAsia="x-none"/>
              </w:rPr>
              <w:t>(s) prior to the first uplink switching</w:t>
            </w:r>
            <w:r w:rsidRPr="00E15A2C">
              <w:rPr>
                <w:rFonts w:ascii="Times New Roman" w:eastAsia="MS Mincho" w:hAnsi="Times New Roman"/>
                <w:sz w:val="21"/>
                <w:szCs w:val="20"/>
                <w:lang w:val="en-AU" w:eastAsia="x-none"/>
              </w:rPr>
              <w:t xml:space="preserve"> and the start of </w:t>
            </w:r>
            <w:r w:rsidRPr="00E15A2C">
              <w:rPr>
                <w:rFonts w:ascii="Times New Roman" w:hAnsi="Times New Roman"/>
                <w:sz w:val="21"/>
                <w:szCs w:val="20"/>
                <w:lang w:eastAsia="x-none"/>
              </w:rPr>
              <w:t>all</w:t>
            </w:r>
            <w:r w:rsidRPr="00E15A2C">
              <w:rPr>
                <w:rFonts w:ascii="Times New Roman" w:eastAsia="MS Mincho" w:hAnsi="Times New Roman"/>
                <w:sz w:val="21"/>
                <w:szCs w:val="20"/>
                <w:lang w:val="en-AU" w:eastAsia="x-none"/>
              </w:rPr>
              <w:t xml:space="preserve"> transmission</w:t>
            </w:r>
            <w:r w:rsidRPr="00E15A2C">
              <w:rPr>
                <w:rFonts w:ascii="Times New Roman" w:hAnsi="Times New Roman"/>
                <w:sz w:val="21"/>
                <w:szCs w:val="20"/>
                <w:lang w:eastAsia="x-none"/>
              </w:rPr>
              <w:t>(s) after the second uplink switching</w:t>
            </w:r>
            <w:r w:rsidRPr="00E15A2C">
              <w:rPr>
                <w:rFonts w:ascii="Times New Roman" w:eastAsia="MS Mincho" w:hAnsi="Times New Roman"/>
                <w:sz w:val="21"/>
                <w:szCs w:val="20"/>
                <w:lang w:val="en-AU" w:eastAsia="x-none"/>
              </w:rPr>
              <w:t xml:space="preserve"> within the two reference slots is expected to be not less than a minimum separation time </w:t>
            </w:r>
          </w:p>
          <w:p w14:paraId="243A0813" w14:textId="77777777" w:rsidR="00B84BA7" w:rsidRPr="00E15A2C" w:rsidRDefault="00B84BA7" w:rsidP="00B84BA7">
            <w:pPr>
              <w:numPr>
                <w:ilvl w:val="1"/>
                <w:numId w:val="39"/>
              </w:numPr>
              <w:tabs>
                <w:tab w:val="left" w:pos="840"/>
              </w:tabs>
              <w:jc w:val="both"/>
              <w:rPr>
                <w:rFonts w:ascii="Times New Roman" w:eastAsia="MS Mincho" w:hAnsi="Times New Roman"/>
                <w:sz w:val="21"/>
                <w:szCs w:val="20"/>
                <w:lang w:val="en-AU" w:eastAsia="x-none"/>
              </w:rPr>
            </w:pPr>
            <w:r w:rsidRPr="00E15A2C">
              <w:rPr>
                <w:rFonts w:ascii="Times New Roman" w:eastAsia="MS Mincho" w:hAnsi="Times New Roman"/>
                <w:sz w:val="21"/>
                <w:szCs w:val="20"/>
                <w:lang w:val="en-AU" w:eastAsia="x-none"/>
              </w:rPr>
              <w:t xml:space="preserve">The minimum separation time is a sum of X us and the switching gap required for </w:t>
            </w:r>
            <w:r w:rsidRPr="00E15A2C">
              <w:rPr>
                <w:rFonts w:ascii="Times New Roman" w:hAnsi="Times New Roman"/>
                <w:sz w:val="21"/>
                <w:szCs w:val="20"/>
                <w:lang w:eastAsia="x-none"/>
              </w:rPr>
              <w:t>the second uplink switching</w:t>
            </w:r>
            <w:r w:rsidRPr="00E15A2C">
              <w:rPr>
                <w:rFonts w:ascii="Times New Roman" w:eastAsia="MS Mincho" w:hAnsi="Times New Roman"/>
                <w:sz w:val="21"/>
                <w:szCs w:val="20"/>
                <w:lang w:val="en-AU" w:eastAsia="x-none"/>
              </w:rPr>
              <w:t>.</w:t>
            </w:r>
          </w:p>
          <w:p w14:paraId="6D08EC43" w14:textId="343D3A13" w:rsidR="00B84BA7" w:rsidRPr="00E15A2C" w:rsidRDefault="00B84BA7" w:rsidP="004C29D5">
            <w:pPr>
              <w:numPr>
                <w:ilvl w:val="1"/>
                <w:numId w:val="39"/>
              </w:numPr>
              <w:tabs>
                <w:tab w:val="left" w:pos="840"/>
              </w:tabs>
              <w:jc w:val="both"/>
              <w:rPr>
                <w:rFonts w:ascii="Times New Roman" w:eastAsia="MS Mincho" w:hAnsi="Times New Roman"/>
                <w:sz w:val="21"/>
                <w:szCs w:val="20"/>
                <w:lang w:val="en-AU" w:eastAsia="x-none"/>
              </w:rPr>
            </w:pPr>
            <w:r w:rsidRPr="00E15A2C">
              <w:rPr>
                <w:rFonts w:ascii="Times New Roman" w:eastAsia="MS Mincho" w:hAnsi="Times New Roman"/>
                <w:sz w:val="21"/>
                <w:szCs w:val="20"/>
                <w:lang w:val="en-AU" w:eastAsia="x-none"/>
              </w:rPr>
              <w:t>X us is subject to UE capability with a value set of {0us, 500us</w:t>
            </w:r>
            <w:r w:rsidR="004C29D5" w:rsidRPr="00E15A2C">
              <w:rPr>
                <w:rFonts w:ascii="Times New Roman" w:eastAsia="MS Mincho" w:hAnsi="Times New Roman"/>
                <w:sz w:val="21"/>
                <w:szCs w:val="20"/>
                <w:lang w:val="en-AU" w:eastAsia="x-none"/>
              </w:rPr>
              <w:t>}</w:t>
            </w:r>
          </w:p>
        </w:tc>
      </w:tr>
    </w:tbl>
    <w:p w14:paraId="0DDADF53" w14:textId="19B9430B" w:rsidR="00F21220" w:rsidRPr="00F21220" w:rsidRDefault="009B0D59" w:rsidP="00F21220">
      <w:pPr>
        <w:pStyle w:val="2"/>
        <w:ind w:left="567"/>
        <w:rPr>
          <w:rFonts w:eastAsia="宋体"/>
          <w:b w:val="0"/>
          <w:i w:val="0"/>
          <w:sz w:val="30"/>
          <w:szCs w:val="30"/>
          <w:lang w:eastAsia="zh-CN"/>
        </w:rPr>
      </w:pPr>
      <w:r>
        <w:rPr>
          <w:rFonts w:eastAsia="宋体"/>
          <w:b w:val="0"/>
          <w:i w:val="0"/>
          <w:sz w:val="30"/>
          <w:szCs w:val="30"/>
        </w:rPr>
        <w:t>S</w:t>
      </w:r>
      <w:r w:rsidR="00F21220" w:rsidRPr="00F21220">
        <w:rPr>
          <w:rFonts w:eastAsia="宋体" w:hint="eastAsia"/>
          <w:b w:val="0"/>
          <w:i w:val="0"/>
          <w:sz w:val="30"/>
          <w:szCs w:val="30"/>
        </w:rPr>
        <w:t>witching</w:t>
      </w:r>
      <w:r w:rsidR="00F21220" w:rsidRPr="00F21220">
        <w:rPr>
          <w:rFonts w:eastAsia="宋体"/>
          <w:b w:val="0"/>
          <w:i w:val="0"/>
          <w:sz w:val="30"/>
          <w:szCs w:val="30"/>
        </w:rPr>
        <w:t xml:space="preserve"> </w:t>
      </w:r>
      <w:r w:rsidR="00F21220" w:rsidRPr="00F21220">
        <w:rPr>
          <w:rFonts w:eastAsia="宋体" w:hint="eastAsia"/>
          <w:b w:val="0"/>
          <w:i w:val="0"/>
          <w:sz w:val="30"/>
          <w:szCs w:val="30"/>
        </w:rPr>
        <w:t>period</w:t>
      </w:r>
      <w:r w:rsidR="00F21220" w:rsidRPr="00F21220">
        <w:rPr>
          <w:rFonts w:eastAsia="宋体"/>
          <w:b w:val="0"/>
          <w:i w:val="0"/>
          <w:sz w:val="30"/>
          <w:szCs w:val="30"/>
        </w:rPr>
        <w:t xml:space="preserve"> </w:t>
      </w:r>
      <w:r w:rsidR="00F21220" w:rsidRPr="00F21220">
        <w:rPr>
          <w:rFonts w:eastAsia="宋体" w:hint="eastAsia"/>
          <w:b w:val="0"/>
          <w:i w:val="0"/>
          <w:sz w:val="30"/>
          <w:szCs w:val="30"/>
        </w:rPr>
        <w:t>location</w:t>
      </w:r>
    </w:p>
    <w:p w14:paraId="7616144B" w14:textId="26273A2D" w:rsidR="00F21220" w:rsidRPr="00F21220" w:rsidRDefault="00F21220" w:rsidP="00F21220">
      <w:pPr>
        <w:ind w:left="0" w:firstLine="0"/>
        <w:jc w:val="both"/>
        <w:rPr>
          <w:rFonts w:ascii="Times New Roman" w:eastAsiaTheme="minorEastAsia" w:hAnsi="Times New Roman"/>
          <w:sz w:val="21"/>
          <w:szCs w:val="21"/>
          <w:lang w:eastAsia="zh-CN"/>
        </w:rPr>
      </w:pPr>
      <w:r w:rsidRPr="00F21220">
        <w:rPr>
          <w:rFonts w:ascii="Times New Roman" w:eastAsiaTheme="minorEastAsia" w:hAnsi="Times New Roman"/>
          <w:sz w:val="21"/>
          <w:szCs w:val="21"/>
          <w:lang w:eastAsia="zh-CN"/>
        </w:rPr>
        <w:t xml:space="preserve">Currently, switching period is configured per serving cell, i.e. via a boolen variable for which TRUE means there is switching period on this carrier and FALSE means there is no switching period on this carrier. It is sufficient for Rel-16/17 UL Tx switching as there are only two bands involved. For Rel-18 UL Tx switching, more than 2 bands are involved wherein a band may belong to different band </w:t>
      </w:r>
      <w:r w:rsidR="00F4306F">
        <w:rPr>
          <w:rFonts w:ascii="Times New Roman" w:eastAsiaTheme="minorEastAsia" w:hAnsi="Times New Roman" w:hint="eastAsia"/>
          <w:sz w:val="21"/>
          <w:szCs w:val="21"/>
          <w:lang w:eastAsia="zh-CN"/>
        </w:rPr>
        <w:t>pairs</w:t>
      </w:r>
      <w:r w:rsidRPr="00F21220">
        <w:rPr>
          <w:rFonts w:ascii="Times New Roman" w:eastAsiaTheme="minorEastAsia" w:hAnsi="Times New Roman"/>
          <w:sz w:val="21"/>
          <w:szCs w:val="21"/>
          <w:lang w:eastAsia="zh-CN"/>
        </w:rPr>
        <w:t xml:space="preserve">. For example, band A belongs to band pair </w:t>
      </w:r>
      <w:r w:rsidR="00D444E2">
        <w:rPr>
          <w:rFonts w:ascii="Times New Roman" w:eastAsiaTheme="minorEastAsia" w:hAnsi="Times New Roman" w:hint="eastAsia"/>
          <w:sz w:val="21"/>
          <w:szCs w:val="21"/>
          <w:lang w:eastAsia="zh-CN"/>
        </w:rPr>
        <w:t>{</w:t>
      </w:r>
      <w:r w:rsidR="00D444E2">
        <w:rPr>
          <w:rFonts w:ascii="Times New Roman" w:eastAsiaTheme="minorEastAsia" w:hAnsi="Times New Roman"/>
          <w:sz w:val="21"/>
          <w:szCs w:val="21"/>
          <w:lang w:eastAsia="zh-CN"/>
        </w:rPr>
        <w:t>A</w:t>
      </w:r>
      <w:r w:rsidR="00D444E2">
        <w:rPr>
          <w:rFonts w:ascii="Times New Roman" w:eastAsiaTheme="minorEastAsia" w:hAnsi="Times New Roman" w:hint="eastAsia"/>
          <w:sz w:val="21"/>
          <w:szCs w:val="21"/>
          <w:lang w:eastAsia="zh-CN"/>
        </w:rPr>
        <w:t>,</w:t>
      </w:r>
      <w:r w:rsidRPr="00F21220">
        <w:rPr>
          <w:rFonts w:ascii="Times New Roman" w:eastAsiaTheme="minorEastAsia" w:hAnsi="Times New Roman"/>
          <w:sz w:val="21"/>
          <w:szCs w:val="21"/>
          <w:lang w:eastAsia="zh-CN"/>
        </w:rPr>
        <w:t>B</w:t>
      </w:r>
      <w:r w:rsidR="00D444E2">
        <w:rPr>
          <w:rFonts w:ascii="Times New Roman" w:eastAsiaTheme="minorEastAsia" w:hAnsi="Times New Roman"/>
          <w:sz w:val="21"/>
          <w:szCs w:val="21"/>
          <w:lang w:eastAsia="zh-CN"/>
        </w:rPr>
        <w:t>}</w:t>
      </w:r>
      <w:r w:rsidRPr="00F21220">
        <w:rPr>
          <w:rFonts w:ascii="Times New Roman" w:eastAsiaTheme="minorEastAsia" w:hAnsi="Times New Roman"/>
          <w:sz w:val="21"/>
          <w:szCs w:val="21"/>
          <w:lang w:eastAsia="zh-CN"/>
        </w:rPr>
        <w:t xml:space="preserve"> and </w:t>
      </w:r>
      <w:r w:rsidR="00D444E2">
        <w:rPr>
          <w:rFonts w:ascii="Times New Roman" w:eastAsiaTheme="minorEastAsia" w:hAnsi="Times New Roman" w:hint="eastAsia"/>
          <w:sz w:val="21"/>
          <w:szCs w:val="21"/>
          <w:lang w:eastAsia="zh-CN"/>
        </w:rPr>
        <w:t>{</w:t>
      </w:r>
      <w:r w:rsidR="00D444E2">
        <w:rPr>
          <w:rFonts w:ascii="Times New Roman" w:eastAsiaTheme="minorEastAsia" w:hAnsi="Times New Roman"/>
          <w:sz w:val="21"/>
          <w:szCs w:val="21"/>
          <w:lang w:eastAsia="zh-CN"/>
        </w:rPr>
        <w:t>A</w:t>
      </w:r>
      <w:r w:rsidR="00D444E2">
        <w:rPr>
          <w:rFonts w:ascii="Times New Roman" w:eastAsiaTheme="minorEastAsia" w:hAnsi="Times New Roman" w:hint="eastAsia"/>
          <w:sz w:val="21"/>
          <w:szCs w:val="21"/>
          <w:lang w:eastAsia="zh-CN"/>
        </w:rPr>
        <w:t>,</w:t>
      </w:r>
      <w:r w:rsidRPr="00F21220">
        <w:rPr>
          <w:rFonts w:ascii="Times New Roman" w:eastAsiaTheme="minorEastAsia" w:hAnsi="Times New Roman"/>
          <w:sz w:val="21"/>
          <w:szCs w:val="21"/>
          <w:lang w:eastAsia="zh-CN"/>
        </w:rPr>
        <w:t>C</w:t>
      </w:r>
      <w:r w:rsidR="00D444E2">
        <w:rPr>
          <w:rFonts w:ascii="Times New Roman" w:eastAsiaTheme="minorEastAsia" w:hAnsi="Times New Roman"/>
          <w:sz w:val="21"/>
          <w:szCs w:val="21"/>
          <w:lang w:eastAsia="zh-CN"/>
        </w:rPr>
        <w:t>}</w:t>
      </w:r>
      <w:r w:rsidRPr="00F21220">
        <w:rPr>
          <w:rFonts w:ascii="Times New Roman" w:eastAsiaTheme="minorEastAsia" w:hAnsi="Times New Roman"/>
          <w:sz w:val="21"/>
          <w:szCs w:val="21"/>
          <w:lang w:eastAsia="zh-CN"/>
        </w:rPr>
        <w:t>. For the first band pair, switching period can be located on band B per current configuration. On the other hand, switching period is configured on band A</w:t>
      </w:r>
      <w:r w:rsidR="0049159E">
        <w:rPr>
          <w:rFonts w:ascii="Times New Roman" w:eastAsiaTheme="minorEastAsia" w:hAnsi="Times New Roman"/>
          <w:sz w:val="21"/>
          <w:szCs w:val="21"/>
          <w:lang w:eastAsia="zh-CN"/>
        </w:rPr>
        <w:t xml:space="preserve"> for the second band pair</w:t>
      </w:r>
      <w:r w:rsidRPr="00F21220">
        <w:rPr>
          <w:rFonts w:ascii="Times New Roman" w:eastAsiaTheme="minorEastAsia" w:hAnsi="Times New Roman"/>
          <w:sz w:val="21"/>
          <w:szCs w:val="21"/>
          <w:lang w:eastAsia="zh-CN"/>
        </w:rPr>
        <w:t>. Consequently, both band A and band B are configured with switching period. Therefore, solutions are needed to resolve suck kind of ambiguity.</w:t>
      </w:r>
    </w:p>
    <w:p w14:paraId="7408A521" w14:textId="5AEC8F53" w:rsidR="00F21220" w:rsidRDefault="00F21220" w:rsidP="00D444E2">
      <w:pPr>
        <w:spacing w:afterLines="50" w:after="120"/>
        <w:jc w:val="both"/>
        <w:rPr>
          <w:rFonts w:ascii="Times New Roman" w:eastAsiaTheme="minorEastAsia" w:hAnsi="Times New Roman"/>
          <w:sz w:val="21"/>
          <w:szCs w:val="21"/>
          <w:lang w:eastAsia="zh-CN"/>
        </w:rPr>
      </w:pPr>
      <w:r w:rsidRPr="00F21220">
        <w:rPr>
          <w:rFonts w:ascii="Times New Roman" w:eastAsiaTheme="minorEastAsia" w:hAnsi="Times New Roman"/>
          <w:sz w:val="21"/>
          <w:szCs w:val="21"/>
          <w:lang w:eastAsia="zh-CN"/>
        </w:rPr>
        <w:t>In the last meeting, five alternatives are proposed for further down</w:t>
      </w:r>
      <w:r w:rsidR="00D26B80">
        <w:rPr>
          <w:rFonts w:ascii="Times New Roman" w:eastAsiaTheme="minorEastAsia" w:hAnsi="Times New Roman"/>
          <w:sz w:val="21"/>
          <w:szCs w:val="21"/>
          <w:lang w:eastAsia="zh-CN"/>
        </w:rPr>
        <w:t xml:space="preserve"> </w:t>
      </w:r>
      <w:r w:rsidRPr="00F21220">
        <w:rPr>
          <w:rFonts w:ascii="Times New Roman" w:eastAsiaTheme="minorEastAsia" w:hAnsi="Times New Roman"/>
          <w:sz w:val="21"/>
          <w:szCs w:val="21"/>
          <w:lang w:eastAsia="zh-CN"/>
        </w:rPr>
        <w:t>selection:</w:t>
      </w:r>
    </w:p>
    <w:tbl>
      <w:tblPr>
        <w:tblStyle w:val="af1"/>
        <w:tblW w:w="9634" w:type="dxa"/>
        <w:tblLook w:val="04A0" w:firstRow="1" w:lastRow="0" w:firstColumn="1" w:lastColumn="0" w:noHBand="0" w:noVBand="1"/>
      </w:tblPr>
      <w:tblGrid>
        <w:gridCol w:w="9634"/>
      </w:tblGrid>
      <w:tr w:rsidR="00F21220" w14:paraId="2EF1F29E" w14:textId="77777777" w:rsidTr="00F21220">
        <w:tc>
          <w:tcPr>
            <w:tcW w:w="9634" w:type="dxa"/>
          </w:tcPr>
          <w:p w14:paraId="3A4F196D" w14:textId="77777777" w:rsidR="00F21220" w:rsidRPr="00E15A2C" w:rsidRDefault="00F21220" w:rsidP="004D6EAB">
            <w:pPr>
              <w:spacing w:afterLines="50" w:after="120"/>
              <w:rPr>
                <w:rFonts w:ascii="Times New Roman" w:eastAsia="MS Mincho" w:hAnsi="Times New Roman"/>
                <w:sz w:val="21"/>
                <w:szCs w:val="20"/>
              </w:rPr>
            </w:pPr>
            <w:r w:rsidRPr="00E15A2C">
              <w:rPr>
                <w:rFonts w:ascii="Times New Roman" w:eastAsia="MS Mincho" w:hAnsi="Times New Roman"/>
                <w:sz w:val="21"/>
                <w:szCs w:val="20"/>
              </w:rPr>
              <w:t>Down-select a solution for the ambiguity issue on switching period location from following alternatives.</w:t>
            </w:r>
          </w:p>
          <w:p w14:paraId="078F4D35" w14:textId="6E674454" w:rsidR="00F21220" w:rsidRPr="00E15A2C" w:rsidRDefault="009E1846" w:rsidP="00F21220">
            <w:pPr>
              <w:pStyle w:val="aff0"/>
              <w:numPr>
                <w:ilvl w:val="0"/>
                <w:numId w:val="41"/>
              </w:numPr>
              <w:overflowPunct w:val="0"/>
              <w:autoSpaceDE w:val="0"/>
              <w:autoSpaceDN w:val="0"/>
              <w:adjustRightInd w:val="0"/>
              <w:spacing w:afterLines="50" w:after="120"/>
              <w:ind w:leftChars="0"/>
              <w:jc w:val="both"/>
              <w:textAlignment w:val="baseline"/>
              <w:rPr>
                <w:rFonts w:ascii="Times New Roman" w:eastAsia="MS Mincho" w:hAnsi="Times New Roman"/>
                <w:sz w:val="21"/>
                <w:szCs w:val="20"/>
              </w:rPr>
            </w:pPr>
            <w:r w:rsidRPr="00E15A2C">
              <w:rPr>
                <w:rFonts w:ascii="Times New Roman" w:eastAsia="MS Mincho" w:hAnsi="Times New Roman"/>
                <w:sz w:val="21"/>
                <w:szCs w:val="20"/>
              </w:rPr>
              <w:lastRenderedPageBreak/>
              <w:t>Alt.</w:t>
            </w:r>
            <w:r w:rsidR="00F21220" w:rsidRPr="00E15A2C">
              <w:rPr>
                <w:rFonts w:ascii="Times New Roman" w:eastAsia="MS Mincho" w:hAnsi="Times New Roman"/>
                <w:sz w:val="21"/>
                <w:szCs w:val="20"/>
              </w:rPr>
              <w:t>1: switching period location is configured per band pair</w:t>
            </w:r>
          </w:p>
          <w:p w14:paraId="1F919F3B" w14:textId="77777777" w:rsidR="00F21220" w:rsidRPr="00E15A2C" w:rsidRDefault="00F21220" w:rsidP="00F21220">
            <w:pPr>
              <w:pStyle w:val="aff0"/>
              <w:numPr>
                <w:ilvl w:val="1"/>
                <w:numId w:val="41"/>
              </w:numPr>
              <w:overflowPunct w:val="0"/>
              <w:autoSpaceDE w:val="0"/>
              <w:autoSpaceDN w:val="0"/>
              <w:adjustRightInd w:val="0"/>
              <w:spacing w:afterLines="50" w:after="120"/>
              <w:ind w:leftChars="0"/>
              <w:jc w:val="both"/>
              <w:textAlignment w:val="baseline"/>
              <w:rPr>
                <w:rFonts w:ascii="Times New Roman" w:eastAsia="MS Mincho" w:hAnsi="Times New Roman"/>
                <w:sz w:val="21"/>
                <w:szCs w:val="20"/>
              </w:rPr>
            </w:pPr>
            <w:r w:rsidRPr="00E15A2C">
              <w:rPr>
                <w:rFonts w:ascii="Times New Roman" w:eastAsia="MS Mincho" w:hAnsi="Times New Roman"/>
                <w:sz w:val="21"/>
                <w:szCs w:val="20"/>
              </w:rPr>
              <w:t>If there are multiple bands configured with switching period location as TRUE in the bands involved in a switching, the switching period location is determined to highest carrier frequency among the bands configured with switching period location as TRUE</w:t>
            </w:r>
          </w:p>
          <w:p w14:paraId="30965E05" w14:textId="63BBF7BC" w:rsidR="00F21220" w:rsidRPr="00E15A2C" w:rsidRDefault="009E1846" w:rsidP="00F21220">
            <w:pPr>
              <w:pStyle w:val="aff0"/>
              <w:numPr>
                <w:ilvl w:val="0"/>
                <w:numId w:val="41"/>
              </w:numPr>
              <w:overflowPunct w:val="0"/>
              <w:autoSpaceDE w:val="0"/>
              <w:autoSpaceDN w:val="0"/>
              <w:adjustRightInd w:val="0"/>
              <w:spacing w:afterLines="50" w:after="120"/>
              <w:ind w:leftChars="0"/>
              <w:jc w:val="both"/>
              <w:textAlignment w:val="baseline"/>
              <w:rPr>
                <w:rFonts w:ascii="Times New Roman" w:eastAsia="MS Mincho" w:hAnsi="Times New Roman"/>
                <w:sz w:val="21"/>
                <w:szCs w:val="20"/>
              </w:rPr>
            </w:pPr>
            <w:r w:rsidRPr="00E15A2C">
              <w:rPr>
                <w:rFonts w:ascii="Times New Roman" w:eastAsia="MS Mincho" w:hAnsi="Times New Roman"/>
                <w:sz w:val="21"/>
                <w:szCs w:val="20"/>
              </w:rPr>
              <w:t>Alt.</w:t>
            </w:r>
            <w:r w:rsidR="00F21220" w:rsidRPr="00E15A2C">
              <w:rPr>
                <w:rFonts w:ascii="Times New Roman" w:eastAsia="MS Mincho" w:hAnsi="Times New Roman"/>
                <w:sz w:val="21"/>
                <w:szCs w:val="20"/>
              </w:rPr>
              <w:t>2: switching period location is configured per band pair, and the priority list of bands is also configured</w:t>
            </w:r>
          </w:p>
          <w:p w14:paraId="13A1B984" w14:textId="77777777" w:rsidR="00F21220" w:rsidRPr="00E15A2C" w:rsidRDefault="00F21220" w:rsidP="00F21220">
            <w:pPr>
              <w:pStyle w:val="aff0"/>
              <w:numPr>
                <w:ilvl w:val="1"/>
                <w:numId w:val="41"/>
              </w:numPr>
              <w:overflowPunct w:val="0"/>
              <w:autoSpaceDE w:val="0"/>
              <w:autoSpaceDN w:val="0"/>
              <w:adjustRightInd w:val="0"/>
              <w:spacing w:afterLines="50" w:after="120"/>
              <w:ind w:leftChars="0"/>
              <w:jc w:val="both"/>
              <w:textAlignment w:val="baseline"/>
              <w:rPr>
                <w:rFonts w:ascii="Times New Roman" w:eastAsia="MS Mincho" w:hAnsi="Times New Roman"/>
                <w:sz w:val="21"/>
                <w:szCs w:val="20"/>
              </w:rPr>
            </w:pPr>
            <w:r w:rsidRPr="00E15A2C">
              <w:rPr>
                <w:rFonts w:ascii="Times New Roman" w:eastAsia="MS Mincho" w:hAnsi="Times New Roman"/>
                <w:sz w:val="21"/>
                <w:szCs w:val="20"/>
              </w:rPr>
              <w:t>If there are multiple bands configured with switching period location as TRUE in the bands involved in a switching, the switching period location is determined to the band with lowest priority among bands configured with switching period location as TRUE</w:t>
            </w:r>
          </w:p>
          <w:p w14:paraId="3E56AC4F" w14:textId="6CBECE08" w:rsidR="00F21220" w:rsidRPr="00E15A2C" w:rsidRDefault="009E1846" w:rsidP="00F21220">
            <w:pPr>
              <w:pStyle w:val="aff0"/>
              <w:numPr>
                <w:ilvl w:val="0"/>
                <w:numId w:val="41"/>
              </w:numPr>
              <w:overflowPunct w:val="0"/>
              <w:autoSpaceDE w:val="0"/>
              <w:autoSpaceDN w:val="0"/>
              <w:adjustRightInd w:val="0"/>
              <w:spacing w:afterLines="50" w:after="120"/>
              <w:ind w:leftChars="0"/>
              <w:jc w:val="both"/>
              <w:textAlignment w:val="baseline"/>
              <w:rPr>
                <w:rFonts w:ascii="Times New Roman" w:eastAsia="MS Mincho" w:hAnsi="Times New Roman"/>
                <w:sz w:val="21"/>
                <w:szCs w:val="20"/>
              </w:rPr>
            </w:pPr>
            <w:r w:rsidRPr="00E15A2C">
              <w:rPr>
                <w:rFonts w:ascii="Times New Roman" w:eastAsia="MS Mincho" w:hAnsi="Times New Roman"/>
                <w:sz w:val="21"/>
                <w:szCs w:val="20"/>
              </w:rPr>
              <w:t>Alt.</w:t>
            </w:r>
            <w:r w:rsidR="00F21220" w:rsidRPr="00E15A2C">
              <w:rPr>
                <w:rFonts w:ascii="Times New Roman" w:eastAsia="MS Mincho" w:hAnsi="Times New Roman"/>
                <w:sz w:val="21"/>
                <w:szCs w:val="20"/>
              </w:rPr>
              <w:t>3: gNB configures “switching-from band” or “switching-to band”</w:t>
            </w:r>
          </w:p>
          <w:p w14:paraId="1E1D24C0" w14:textId="77777777" w:rsidR="00F21220" w:rsidRPr="00E15A2C" w:rsidRDefault="00F21220" w:rsidP="00F21220">
            <w:pPr>
              <w:pStyle w:val="aff0"/>
              <w:numPr>
                <w:ilvl w:val="1"/>
                <w:numId w:val="41"/>
              </w:numPr>
              <w:overflowPunct w:val="0"/>
              <w:autoSpaceDE w:val="0"/>
              <w:autoSpaceDN w:val="0"/>
              <w:adjustRightInd w:val="0"/>
              <w:spacing w:afterLines="50" w:after="120"/>
              <w:ind w:leftChars="0"/>
              <w:jc w:val="both"/>
              <w:textAlignment w:val="baseline"/>
              <w:rPr>
                <w:rFonts w:ascii="Times New Roman" w:eastAsia="MS Mincho" w:hAnsi="Times New Roman"/>
                <w:sz w:val="21"/>
                <w:szCs w:val="20"/>
              </w:rPr>
            </w:pPr>
            <w:r w:rsidRPr="00E15A2C">
              <w:rPr>
                <w:rFonts w:ascii="Times New Roman" w:eastAsia="MS Mincho" w:hAnsi="Times New Roman"/>
                <w:sz w:val="21"/>
                <w:szCs w:val="20"/>
              </w:rPr>
              <w:t>If gNB configures “switching-from band” as switching period location, switching period is located on band(s) where preceding transmission is performed</w:t>
            </w:r>
          </w:p>
          <w:p w14:paraId="5F178941" w14:textId="79F6C844" w:rsidR="00F21220" w:rsidRPr="00E15A2C" w:rsidRDefault="009E1846" w:rsidP="00F21220">
            <w:pPr>
              <w:pStyle w:val="aff0"/>
              <w:numPr>
                <w:ilvl w:val="0"/>
                <w:numId w:val="41"/>
              </w:numPr>
              <w:overflowPunct w:val="0"/>
              <w:autoSpaceDE w:val="0"/>
              <w:autoSpaceDN w:val="0"/>
              <w:adjustRightInd w:val="0"/>
              <w:spacing w:afterLines="50" w:after="120"/>
              <w:ind w:leftChars="0"/>
              <w:jc w:val="both"/>
              <w:textAlignment w:val="baseline"/>
              <w:rPr>
                <w:rFonts w:ascii="Times New Roman" w:eastAsia="MS Mincho" w:hAnsi="Times New Roman"/>
                <w:sz w:val="21"/>
                <w:szCs w:val="20"/>
              </w:rPr>
            </w:pPr>
            <w:r w:rsidRPr="00E15A2C">
              <w:rPr>
                <w:rFonts w:ascii="Times New Roman" w:eastAsia="MS Mincho" w:hAnsi="Times New Roman"/>
                <w:sz w:val="21"/>
                <w:szCs w:val="20"/>
              </w:rPr>
              <w:t>Alt.</w:t>
            </w:r>
            <w:r w:rsidR="00F21220" w:rsidRPr="00E15A2C">
              <w:rPr>
                <w:rFonts w:ascii="Times New Roman" w:eastAsia="MS Mincho" w:hAnsi="Times New Roman"/>
                <w:sz w:val="21"/>
                <w:szCs w:val="20"/>
              </w:rPr>
              <w:t>4: gNB configures switching period location per switching case</w:t>
            </w:r>
          </w:p>
          <w:p w14:paraId="24F96299" w14:textId="77777777" w:rsidR="00F21220" w:rsidRPr="00E15A2C" w:rsidRDefault="00F21220" w:rsidP="00F21220">
            <w:pPr>
              <w:pStyle w:val="aff0"/>
              <w:numPr>
                <w:ilvl w:val="1"/>
                <w:numId w:val="41"/>
              </w:numPr>
              <w:overflowPunct w:val="0"/>
              <w:autoSpaceDE w:val="0"/>
              <w:autoSpaceDN w:val="0"/>
              <w:adjustRightInd w:val="0"/>
              <w:spacing w:afterLines="50" w:after="120"/>
              <w:ind w:leftChars="0"/>
              <w:jc w:val="both"/>
              <w:textAlignment w:val="baseline"/>
              <w:rPr>
                <w:rFonts w:ascii="Times New Roman" w:eastAsia="MS Mincho" w:hAnsi="Times New Roman"/>
                <w:sz w:val="21"/>
                <w:szCs w:val="20"/>
              </w:rPr>
            </w:pPr>
            <w:r w:rsidRPr="00E15A2C">
              <w:rPr>
                <w:rFonts w:ascii="Times New Roman" w:eastAsia="MS Mincho" w:hAnsi="Times New Roman"/>
                <w:sz w:val="21"/>
                <w:szCs w:val="20"/>
              </w:rPr>
              <w:t>In 3 bands case, gNB configures switching period location for each of switching case pair such as {A - B}, {A - C}, {B - C}, {A+B - C}, {A+C - B}, {B+C - A}</w:t>
            </w:r>
          </w:p>
          <w:p w14:paraId="0E485536" w14:textId="77777777" w:rsidR="00F21220" w:rsidRPr="00E15A2C" w:rsidRDefault="00F21220" w:rsidP="00F21220">
            <w:pPr>
              <w:pStyle w:val="aff0"/>
              <w:numPr>
                <w:ilvl w:val="1"/>
                <w:numId w:val="41"/>
              </w:numPr>
              <w:overflowPunct w:val="0"/>
              <w:autoSpaceDE w:val="0"/>
              <w:autoSpaceDN w:val="0"/>
              <w:adjustRightInd w:val="0"/>
              <w:spacing w:afterLines="50" w:after="120"/>
              <w:ind w:leftChars="0"/>
              <w:jc w:val="both"/>
              <w:textAlignment w:val="baseline"/>
              <w:rPr>
                <w:rFonts w:ascii="Times New Roman" w:eastAsia="MS Mincho" w:hAnsi="Times New Roman"/>
                <w:sz w:val="21"/>
                <w:szCs w:val="20"/>
              </w:rPr>
            </w:pPr>
            <w:r w:rsidRPr="00E15A2C">
              <w:rPr>
                <w:rFonts w:ascii="Times New Roman" w:eastAsia="MS Mincho" w:hAnsi="Times New Roman"/>
                <w:sz w:val="21"/>
                <w:szCs w:val="20"/>
              </w:rPr>
              <w:t>In 4 bands case, gNB configures switching period location for each of switching case pair such as {A - B}, {A - C}, {A - D}, {B - C}, {B - D}, {C - D}, {A+B - C}, {A+B - D}, {A+C - B}, {A+C - D}, {A+D - B}, {A+D - C}, {B+C - A}, {B+C - D}, {B+D - A}, {B+D - C}, {C+D - A}, {C+D - B}, {A+B – C+D}, {A+C – B+D}, {A+D – B+C}</w:t>
            </w:r>
          </w:p>
          <w:p w14:paraId="07F9B2FD" w14:textId="10B107D3" w:rsidR="00F21220" w:rsidRPr="00E15A2C" w:rsidRDefault="009E1846" w:rsidP="00F21220">
            <w:pPr>
              <w:pStyle w:val="aff0"/>
              <w:numPr>
                <w:ilvl w:val="0"/>
                <w:numId w:val="41"/>
              </w:numPr>
              <w:overflowPunct w:val="0"/>
              <w:autoSpaceDE w:val="0"/>
              <w:autoSpaceDN w:val="0"/>
              <w:adjustRightInd w:val="0"/>
              <w:spacing w:afterLines="50" w:after="120"/>
              <w:ind w:leftChars="0"/>
              <w:jc w:val="both"/>
              <w:textAlignment w:val="baseline"/>
              <w:rPr>
                <w:rFonts w:ascii="Times New Roman" w:eastAsia="MS Mincho" w:hAnsi="Times New Roman"/>
                <w:sz w:val="21"/>
                <w:szCs w:val="20"/>
              </w:rPr>
            </w:pPr>
            <w:r w:rsidRPr="00E15A2C">
              <w:rPr>
                <w:rFonts w:ascii="Times New Roman" w:eastAsia="MS Mincho" w:hAnsi="Times New Roman"/>
                <w:sz w:val="21"/>
                <w:szCs w:val="20"/>
              </w:rPr>
              <w:t>Alt.</w:t>
            </w:r>
            <w:r w:rsidR="00F21220" w:rsidRPr="00E15A2C">
              <w:rPr>
                <w:rFonts w:ascii="Times New Roman" w:eastAsia="MS Mincho" w:hAnsi="Times New Roman"/>
                <w:sz w:val="21"/>
                <w:szCs w:val="20"/>
              </w:rPr>
              <w:t>4-rev: gNB configures switching period location per configured 3 or 4 bands</w:t>
            </w:r>
          </w:p>
          <w:p w14:paraId="11545A7F" w14:textId="77777777" w:rsidR="00F21220" w:rsidRPr="00E15A2C" w:rsidRDefault="00F21220" w:rsidP="00F21220">
            <w:pPr>
              <w:pStyle w:val="aff0"/>
              <w:numPr>
                <w:ilvl w:val="1"/>
                <w:numId w:val="41"/>
              </w:numPr>
              <w:overflowPunct w:val="0"/>
              <w:autoSpaceDE w:val="0"/>
              <w:autoSpaceDN w:val="0"/>
              <w:adjustRightInd w:val="0"/>
              <w:spacing w:afterLines="50" w:after="120"/>
              <w:ind w:leftChars="0"/>
              <w:jc w:val="both"/>
              <w:textAlignment w:val="baseline"/>
              <w:rPr>
                <w:rFonts w:ascii="Times New Roman" w:eastAsia="MS Mincho" w:hAnsi="Times New Roman"/>
                <w:sz w:val="21"/>
                <w:szCs w:val="20"/>
              </w:rPr>
            </w:pPr>
            <w:r w:rsidRPr="00E15A2C">
              <w:rPr>
                <w:rFonts w:ascii="Times New Roman" w:eastAsia="MS Mincho" w:hAnsi="Times New Roman"/>
                <w:sz w:val="21"/>
                <w:szCs w:val="20"/>
              </w:rPr>
              <w:t>In 3 bands case, gNB configures switching period location for each of switching case pair such as {A, B}, {A, C}, {B, C}, {A, B, C}</w:t>
            </w:r>
          </w:p>
          <w:p w14:paraId="6C2071A8" w14:textId="77777777" w:rsidR="00F21220" w:rsidRPr="00E15A2C" w:rsidRDefault="00F21220" w:rsidP="00F21220">
            <w:pPr>
              <w:pStyle w:val="aff0"/>
              <w:numPr>
                <w:ilvl w:val="1"/>
                <w:numId w:val="41"/>
              </w:numPr>
              <w:overflowPunct w:val="0"/>
              <w:autoSpaceDE w:val="0"/>
              <w:autoSpaceDN w:val="0"/>
              <w:adjustRightInd w:val="0"/>
              <w:spacing w:afterLines="50" w:after="120"/>
              <w:ind w:leftChars="0"/>
              <w:jc w:val="both"/>
              <w:textAlignment w:val="baseline"/>
              <w:rPr>
                <w:rFonts w:ascii="Times New Roman" w:eastAsia="MS Mincho" w:hAnsi="Times New Roman"/>
                <w:sz w:val="21"/>
                <w:szCs w:val="20"/>
              </w:rPr>
            </w:pPr>
            <w:r w:rsidRPr="00E15A2C">
              <w:rPr>
                <w:rFonts w:ascii="Times New Roman" w:eastAsia="MS Mincho" w:hAnsi="Times New Roman"/>
                <w:sz w:val="21"/>
                <w:szCs w:val="20"/>
              </w:rPr>
              <w:t>In 4 bands case, gNB configures switching period location for each of switching case pair such as {A, B}, {A, C}, {A, D}, {B, C}, {B, D}, {C, D}, {A, B, C}, {A, B, D}, {B, C, D}, {A, B, C, D}</w:t>
            </w:r>
          </w:p>
          <w:p w14:paraId="33B52AB9" w14:textId="14952BC2" w:rsidR="00F21220" w:rsidRPr="00E15A2C" w:rsidRDefault="009E1846" w:rsidP="00F21220">
            <w:pPr>
              <w:pStyle w:val="aff0"/>
              <w:numPr>
                <w:ilvl w:val="0"/>
                <w:numId w:val="41"/>
              </w:numPr>
              <w:overflowPunct w:val="0"/>
              <w:autoSpaceDE w:val="0"/>
              <w:autoSpaceDN w:val="0"/>
              <w:adjustRightInd w:val="0"/>
              <w:spacing w:afterLines="50" w:after="120"/>
              <w:ind w:leftChars="0"/>
              <w:jc w:val="both"/>
              <w:textAlignment w:val="baseline"/>
              <w:rPr>
                <w:rFonts w:ascii="Times New Roman" w:eastAsia="MS Mincho" w:hAnsi="Times New Roman"/>
                <w:sz w:val="21"/>
                <w:szCs w:val="20"/>
              </w:rPr>
            </w:pPr>
            <w:r w:rsidRPr="00E15A2C">
              <w:rPr>
                <w:rFonts w:ascii="Times New Roman" w:eastAsia="MS Mincho" w:hAnsi="Times New Roman"/>
                <w:sz w:val="21"/>
                <w:szCs w:val="20"/>
                <w:lang w:val="en-US"/>
              </w:rPr>
              <w:t>Alt.</w:t>
            </w:r>
            <w:r w:rsidR="00F21220" w:rsidRPr="00E15A2C">
              <w:rPr>
                <w:rFonts w:ascii="Times New Roman" w:eastAsia="MS Mincho" w:hAnsi="Times New Roman"/>
                <w:sz w:val="21"/>
                <w:szCs w:val="20"/>
                <w:lang w:val="en-US"/>
              </w:rPr>
              <w:t xml:space="preserve">5: </w:t>
            </w:r>
            <w:r w:rsidR="00F21220" w:rsidRPr="00E15A2C">
              <w:rPr>
                <w:rFonts w:ascii="Times New Roman" w:eastAsia="MS Mincho" w:hAnsi="Times New Roman"/>
                <w:sz w:val="21"/>
                <w:szCs w:val="20"/>
              </w:rPr>
              <w:t>gNB configures priorities to each carrier/band.</w:t>
            </w:r>
          </w:p>
          <w:p w14:paraId="4834DC3D" w14:textId="77777777" w:rsidR="00F21220" w:rsidRPr="00E15A2C" w:rsidRDefault="00F21220" w:rsidP="00F21220">
            <w:pPr>
              <w:pStyle w:val="aff0"/>
              <w:numPr>
                <w:ilvl w:val="1"/>
                <w:numId w:val="41"/>
              </w:numPr>
              <w:overflowPunct w:val="0"/>
              <w:autoSpaceDE w:val="0"/>
              <w:autoSpaceDN w:val="0"/>
              <w:adjustRightInd w:val="0"/>
              <w:spacing w:afterLines="50" w:after="120"/>
              <w:ind w:leftChars="0"/>
              <w:jc w:val="both"/>
              <w:textAlignment w:val="baseline"/>
              <w:rPr>
                <w:rFonts w:ascii="Times New Roman" w:eastAsia="MS Mincho" w:hAnsi="Times New Roman"/>
                <w:sz w:val="21"/>
                <w:szCs w:val="22"/>
              </w:rPr>
            </w:pPr>
            <w:r w:rsidRPr="00E15A2C">
              <w:rPr>
                <w:rFonts w:ascii="Times New Roman" w:eastAsia="MS Mincho" w:hAnsi="Times New Roman"/>
                <w:sz w:val="21"/>
                <w:szCs w:val="20"/>
              </w:rPr>
              <w:t>The UE determines the switching period location on the band that is not with the highest priority.</w:t>
            </w:r>
          </w:p>
        </w:tc>
      </w:tr>
    </w:tbl>
    <w:p w14:paraId="0C498DEC" w14:textId="50F39055" w:rsidR="004C29D5" w:rsidRPr="004C29D5" w:rsidRDefault="004C29D5" w:rsidP="00D444E2">
      <w:pPr>
        <w:spacing w:beforeLines="50" w:before="120"/>
        <w:ind w:left="0" w:firstLine="0"/>
        <w:jc w:val="both"/>
        <w:rPr>
          <w:rFonts w:ascii="Times New Roman" w:eastAsiaTheme="minorEastAsia" w:hAnsi="Times New Roman"/>
          <w:sz w:val="21"/>
          <w:lang w:eastAsia="zh-CN"/>
        </w:rPr>
      </w:pPr>
      <w:r w:rsidRPr="004C29D5">
        <w:rPr>
          <w:rFonts w:ascii="Times New Roman" w:eastAsiaTheme="minorEastAsia" w:hAnsi="Times New Roman"/>
          <w:sz w:val="21"/>
          <w:lang w:eastAsia="zh-CN"/>
        </w:rPr>
        <w:lastRenderedPageBreak/>
        <w:t>Tec</w:t>
      </w:r>
      <w:r w:rsidR="00D26B80">
        <w:rPr>
          <w:rFonts w:ascii="Times New Roman" w:eastAsiaTheme="minorEastAsia" w:hAnsi="Times New Roman"/>
          <w:sz w:val="21"/>
          <w:lang w:eastAsia="zh-CN"/>
        </w:rPr>
        <w:t>h</w:t>
      </w:r>
      <w:r w:rsidRPr="004C29D5">
        <w:rPr>
          <w:rFonts w:ascii="Times New Roman" w:eastAsiaTheme="minorEastAsia" w:hAnsi="Times New Roman"/>
          <w:sz w:val="21"/>
          <w:lang w:eastAsia="zh-CN"/>
        </w:rPr>
        <w:t>n</w:t>
      </w:r>
      <w:r w:rsidR="00D26B80">
        <w:rPr>
          <w:rFonts w:ascii="Times New Roman" w:eastAsiaTheme="minorEastAsia" w:hAnsi="Times New Roman"/>
          <w:sz w:val="21"/>
          <w:lang w:eastAsia="zh-CN"/>
        </w:rPr>
        <w:t>i</w:t>
      </w:r>
      <w:r w:rsidRPr="004C29D5">
        <w:rPr>
          <w:rFonts w:ascii="Times New Roman" w:eastAsiaTheme="minorEastAsia" w:hAnsi="Times New Roman"/>
          <w:sz w:val="21"/>
          <w:lang w:eastAsia="zh-CN"/>
        </w:rPr>
        <w:t>cally speaking, each alternative is workable.</w:t>
      </w:r>
    </w:p>
    <w:p w14:paraId="7CD65B97" w14:textId="5EF7F8D5" w:rsidR="004C29D5" w:rsidRPr="004C29D5" w:rsidRDefault="004C29D5" w:rsidP="00D26B80">
      <w:pPr>
        <w:spacing w:beforeLines="50" w:before="120"/>
        <w:ind w:left="0" w:firstLine="0"/>
        <w:jc w:val="both"/>
        <w:rPr>
          <w:rFonts w:ascii="Times New Roman" w:eastAsiaTheme="minorEastAsia" w:hAnsi="Times New Roman"/>
          <w:sz w:val="21"/>
          <w:lang w:eastAsia="zh-CN"/>
        </w:rPr>
      </w:pPr>
      <w:r w:rsidRPr="004C29D5">
        <w:rPr>
          <w:rFonts w:ascii="Times New Roman" w:eastAsiaTheme="minorEastAsia" w:hAnsi="Times New Roman"/>
          <w:sz w:val="21"/>
          <w:lang w:eastAsia="zh-CN"/>
        </w:rPr>
        <w:t xml:space="preserve">For </w:t>
      </w:r>
      <w:r w:rsidR="009E1846">
        <w:rPr>
          <w:rFonts w:ascii="Times New Roman" w:eastAsiaTheme="minorEastAsia" w:hAnsi="Times New Roman"/>
          <w:sz w:val="21"/>
          <w:lang w:eastAsia="zh-CN"/>
        </w:rPr>
        <w:t>Alt.</w:t>
      </w:r>
      <w:r w:rsidRPr="004C29D5">
        <w:rPr>
          <w:rFonts w:ascii="Times New Roman" w:eastAsiaTheme="minorEastAsia" w:hAnsi="Times New Roman"/>
          <w:sz w:val="21"/>
          <w:lang w:eastAsia="zh-CN"/>
        </w:rPr>
        <w:t>1, it is the most simple and straightforward. No additional RRC configuration is needed with introducing a predefined rule to determine the carrier on which switching period exists between tho</w:t>
      </w:r>
      <w:r w:rsidR="007153F5">
        <w:rPr>
          <w:rFonts w:ascii="Times New Roman" w:eastAsiaTheme="minorEastAsia" w:hAnsi="Times New Roman"/>
          <w:sz w:val="21"/>
          <w:lang w:eastAsia="zh-CN"/>
        </w:rPr>
        <w:t xml:space="preserve">se </w:t>
      </w:r>
      <w:r w:rsidRPr="004C29D5">
        <w:rPr>
          <w:rFonts w:ascii="Times New Roman" w:eastAsiaTheme="minorEastAsia" w:hAnsi="Times New Roman"/>
          <w:sz w:val="21"/>
          <w:lang w:eastAsia="zh-CN"/>
        </w:rPr>
        <w:t xml:space="preserve">have ‘TRUE’ indication. On concern is it may not be possible to protect the most important bands with such predefined priority. However, if the carrier with highest frequency is important and no interruption is expected, gNB can simply configure </w:t>
      </w:r>
      <w:r w:rsidRPr="00E15A2C">
        <w:rPr>
          <w:rFonts w:ascii="Times New Roman" w:eastAsiaTheme="minorEastAsia" w:hAnsi="Times New Roman"/>
          <w:i/>
          <w:sz w:val="21"/>
          <w:lang w:eastAsia="zh-CN"/>
        </w:rPr>
        <w:t>uplinkTxSwitchingPeriodLocation-r16</w:t>
      </w:r>
      <w:r w:rsidRPr="004C29D5">
        <w:rPr>
          <w:rFonts w:ascii="Times New Roman" w:eastAsiaTheme="minorEastAsia" w:hAnsi="Times New Roman"/>
          <w:sz w:val="21"/>
          <w:lang w:eastAsia="zh-CN"/>
        </w:rPr>
        <w:t xml:space="preserve"> equals to FALSE. With this in mind, gNB still has full power to protect what it wants to. </w:t>
      </w:r>
      <w:r w:rsidR="00250D33">
        <w:rPr>
          <w:rFonts w:ascii="Times New Roman" w:eastAsiaTheme="minorEastAsia" w:hAnsi="Times New Roman"/>
          <w:sz w:val="21"/>
          <w:lang w:eastAsia="zh-CN"/>
        </w:rPr>
        <w:t xml:space="preserve"> Furthermore, if switching period occurs on band A for band pair {A, B}, it doesn’t make much sense that it is unacceptable that switching period occurs on band A for band pair {A, C}.</w:t>
      </w:r>
    </w:p>
    <w:p w14:paraId="4684AD49" w14:textId="312493A0" w:rsidR="004C29D5" w:rsidRPr="004C29D5" w:rsidRDefault="004C29D5" w:rsidP="00D26B80">
      <w:pPr>
        <w:spacing w:beforeLines="50" w:before="120"/>
        <w:ind w:left="0" w:firstLine="0"/>
        <w:jc w:val="both"/>
        <w:rPr>
          <w:rFonts w:ascii="Times New Roman" w:eastAsiaTheme="minorEastAsia" w:hAnsi="Times New Roman"/>
          <w:sz w:val="21"/>
          <w:lang w:eastAsia="zh-CN"/>
        </w:rPr>
      </w:pPr>
      <w:r w:rsidRPr="004C29D5">
        <w:rPr>
          <w:rFonts w:ascii="Times New Roman" w:eastAsiaTheme="minorEastAsia" w:hAnsi="Times New Roman"/>
          <w:sz w:val="21"/>
          <w:lang w:eastAsia="zh-CN"/>
        </w:rPr>
        <w:t xml:space="preserve">For </w:t>
      </w:r>
      <w:r w:rsidR="009E1846">
        <w:rPr>
          <w:rFonts w:ascii="Times New Roman" w:eastAsiaTheme="minorEastAsia" w:hAnsi="Times New Roman"/>
          <w:sz w:val="21"/>
          <w:lang w:eastAsia="zh-CN"/>
        </w:rPr>
        <w:t>Alt.</w:t>
      </w:r>
      <w:r w:rsidRPr="004C29D5">
        <w:rPr>
          <w:rFonts w:ascii="Times New Roman" w:eastAsiaTheme="minorEastAsia" w:hAnsi="Times New Roman"/>
          <w:sz w:val="21"/>
          <w:lang w:eastAsia="zh-CN"/>
        </w:rPr>
        <w:t xml:space="preserve">2, a priority list of bands is introduced. The major merit of </w:t>
      </w:r>
      <w:r w:rsidR="009E1846">
        <w:rPr>
          <w:rFonts w:ascii="Times New Roman" w:eastAsiaTheme="minorEastAsia" w:hAnsi="Times New Roman"/>
          <w:sz w:val="21"/>
          <w:lang w:eastAsia="zh-CN"/>
        </w:rPr>
        <w:t>Alt.</w:t>
      </w:r>
      <w:r w:rsidRPr="004C29D5">
        <w:rPr>
          <w:rFonts w:ascii="Times New Roman" w:eastAsiaTheme="minorEastAsia" w:hAnsi="Times New Roman"/>
          <w:sz w:val="21"/>
          <w:lang w:eastAsia="zh-CN"/>
        </w:rPr>
        <w:t>2 is it can provide additional flexib</w:t>
      </w:r>
      <w:r w:rsidR="00643F9B">
        <w:rPr>
          <w:rFonts w:ascii="Times New Roman" w:eastAsiaTheme="minorEastAsia" w:hAnsi="Times New Roman"/>
          <w:sz w:val="21"/>
          <w:lang w:eastAsia="zh-CN"/>
        </w:rPr>
        <w:t>i</w:t>
      </w:r>
      <w:r w:rsidRPr="004C29D5">
        <w:rPr>
          <w:rFonts w:ascii="Times New Roman" w:eastAsiaTheme="minorEastAsia" w:hAnsi="Times New Roman"/>
          <w:sz w:val="21"/>
          <w:lang w:eastAsia="zh-CN"/>
        </w:rPr>
        <w:t xml:space="preserve">lity to determine which band </w:t>
      </w:r>
      <w:r w:rsidR="00250D33">
        <w:rPr>
          <w:rFonts w:ascii="Times New Roman" w:eastAsiaTheme="minorEastAsia" w:hAnsi="Times New Roman"/>
          <w:sz w:val="21"/>
          <w:lang w:eastAsia="zh-CN"/>
        </w:rPr>
        <w:t>has a</w:t>
      </w:r>
      <w:r w:rsidR="00250D33" w:rsidRPr="004C29D5">
        <w:rPr>
          <w:rFonts w:ascii="Times New Roman" w:eastAsiaTheme="minorEastAsia" w:hAnsi="Times New Roman"/>
          <w:sz w:val="21"/>
          <w:lang w:eastAsia="zh-CN"/>
        </w:rPr>
        <w:t xml:space="preserve"> </w:t>
      </w:r>
      <w:r w:rsidRPr="004C29D5">
        <w:rPr>
          <w:rFonts w:ascii="Times New Roman" w:eastAsiaTheme="minorEastAsia" w:hAnsi="Times New Roman"/>
          <w:sz w:val="21"/>
          <w:lang w:eastAsia="zh-CN"/>
        </w:rPr>
        <w:t>switching period. However, whether such kind of flexib</w:t>
      </w:r>
      <w:r w:rsidR="00643F9B">
        <w:rPr>
          <w:rFonts w:ascii="Times New Roman" w:eastAsiaTheme="minorEastAsia" w:hAnsi="Times New Roman"/>
          <w:sz w:val="21"/>
          <w:lang w:eastAsia="zh-CN"/>
        </w:rPr>
        <w:t>i</w:t>
      </w:r>
      <w:r w:rsidR="009E1846">
        <w:rPr>
          <w:rFonts w:ascii="Times New Roman" w:eastAsiaTheme="minorEastAsia" w:hAnsi="Times New Roman"/>
          <w:sz w:val="21"/>
          <w:lang w:eastAsia="zh-CN"/>
        </w:rPr>
        <w:t xml:space="preserve">lity is needed or not may need </w:t>
      </w:r>
      <w:r w:rsidRPr="004C29D5">
        <w:rPr>
          <w:rFonts w:ascii="Times New Roman" w:eastAsiaTheme="minorEastAsia" w:hAnsi="Times New Roman"/>
          <w:sz w:val="21"/>
          <w:lang w:eastAsia="zh-CN"/>
        </w:rPr>
        <w:t>further discussion. For example, assuming switching period is configured on band A, band B and band C re</w:t>
      </w:r>
      <w:r w:rsidR="00D26B80">
        <w:rPr>
          <w:rFonts w:ascii="Times New Roman" w:eastAsiaTheme="minorEastAsia" w:hAnsi="Times New Roman"/>
          <w:sz w:val="21"/>
          <w:lang w:eastAsia="zh-CN"/>
        </w:rPr>
        <w:t>s</w:t>
      </w:r>
      <w:r w:rsidRPr="004C29D5">
        <w:rPr>
          <w:rFonts w:ascii="Times New Roman" w:eastAsiaTheme="minorEastAsia" w:hAnsi="Times New Roman"/>
          <w:sz w:val="21"/>
          <w:lang w:eastAsia="zh-CN"/>
        </w:rPr>
        <w:t xml:space="preserve">pectively. Based on </w:t>
      </w:r>
      <w:r w:rsidR="009E1846">
        <w:rPr>
          <w:rFonts w:ascii="Times New Roman" w:eastAsiaTheme="minorEastAsia" w:hAnsi="Times New Roman"/>
          <w:sz w:val="21"/>
          <w:lang w:eastAsia="zh-CN"/>
        </w:rPr>
        <w:t>Alt.</w:t>
      </w:r>
      <w:r w:rsidRPr="004C29D5">
        <w:rPr>
          <w:rFonts w:ascii="Times New Roman" w:eastAsiaTheme="minorEastAsia" w:hAnsi="Times New Roman"/>
          <w:sz w:val="21"/>
          <w:lang w:eastAsia="zh-CN"/>
        </w:rPr>
        <w:t xml:space="preserve">1, switching period exists on the one with highest frequency, e.g. band A. On the other hand, </w:t>
      </w:r>
      <w:r w:rsidR="009E1846">
        <w:rPr>
          <w:rFonts w:ascii="Times New Roman" w:eastAsiaTheme="minorEastAsia" w:hAnsi="Times New Roman"/>
          <w:sz w:val="21"/>
          <w:lang w:eastAsia="zh-CN"/>
        </w:rPr>
        <w:t>Alt.</w:t>
      </w:r>
      <w:r w:rsidRPr="004C29D5">
        <w:rPr>
          <w:rFonts w:ascii="Times New Roman" w:eastAsiaTheme="minorEastAsia" w:hAnsi="Times New Roman"/>
          <w:sz w:val="21"/>
          <w:lang w:eastAsia="zh-CN"/>
        </w:rPr>
        <w:t>2 allows switching period locating on any of them up to gNB’s configuration. However, considering it is already possible to assign switching period on each of the band, it is quite questionable what is the difference to configure switching period on band A or band B or band C.</w:t>
      </w:r>
    </w:p>
    <w:p w14:paraId="6AF8A60E" w14:textId="49EFA41E" w:rsidR="004C29D5" w:rsidRPr="004C29D5" w:rsidRDefault="004C29D5" w:rsidP="00D26B80">
      <w:pPr>
        <w:spacing w:beforeLines="50" w:before="120"/>
        <w:ind w:left="0" w:firstLine="0"/>
        <w:jc w:val="both"/>
        <w:rPr>
          <w:rFonts w:ascii="Times New Roman" w:eastAsiaTheme="minorEastAsia" w:hAnsi="Times New Roman"/>
          <w:sz w:val="21"/>
          <w:lang w:eastAsia="zh-CN"/>
        </w:rPr>
      </w:pPr>
      <w:r w:rsidRPr="004C29D5">
        <w:rPr>
          <w:rFonts w:ascii="Times New Roman" w:eastAsiaTheme="minorEastAsia" w:hAnsi="Times New Roman"/>
          <w:sz w:val="21"/>
          <w:lang w:eastAsia="zh-CN"/>
        </w:rPr>
        <w:t xml:space="preserve">For </w:t>
      </w:r>
      <w:r w:rsidR="009E1846">
        <w:rPr>
          <w:rFonts w:ascii="Times New Roman" w:eastAsiaTheme="minorEastAsia" w:hAnsi="Times New Roman"/>
          <w:sz w:val="21"/>
          <w:lang w:eastAsia="zh-CN"/>
        </w:rPr>
        <w:t>Alt.</w:t>
      </w:r>
      <w:r w:rsidRPr="004C29D5">
        <w:rPr>
          <w:rFonts w:ascii="Times New Roman" w:eastAsiaTheme="minorEastAsia" w:hAnsi="Times New Roman"/>
          <w:sz w:val="21"/>
          <w:lang w:eastAsia="zh-CN"/>
        </w:rPr>
        <w:t>3, it is simple and straightforward. On the other hand, it needs lots of RRC signa</w:t>
      </w:r>
      <w:r w:rsidR="00F4306F">
        <w:rPr>
          <w:rFonts w:ascii="Times New Roman" w:eastAsiaTheme="minorEastAsia" w:hAnsi="Times New Roman" w:hint="eastAsia"/>
          <w:sz w:val="21"/>
          <w:lang w:eastAsia="zh-CN"/>
        </w:rPr>
        <w:t>l</w:t>
      </w:r>
      <w:r w:rsidRPr="004C29D5">
        <w:rPr>
          <w:rFonts w:ascii="Times New Roman" w:eastAsiaTheme="minorEastAsia" w:hAnsi="Times New Roman"/>
          <w:sz w:val="21"/>
          <w:lang w:eastAsia="zh-CN"/>
        </w:rPr>
        <w:t xml:space="preserve">ling as the switching-from and switching-to combinations is numerous. </w:t>
      </w:r>
    </w:p>
    <w:p w14:paraId="60074D70" w14:textId="592F1B6B" w:rsidR="004C29D5" w:rsidRPr="004C29D5" w:rsidRDefault="004C29D5" w:rsidP="00D26B80">
      <w:pPr>
        <w:spacing w:beforeLines="50" w:before="120"/>
        <w:ind w:left="0" w:firstLine="0"/>
        <w:jc w:val="both"/>
        <w:rPr>
          <w:rFonts w:ascii="Times New Roman" w:eastAsiaTheme="minorEastAsia" w:hAnsi="Times New Roman"/>
          <w:sz w:val="21"/>
          <w:lang w:eastAsia="zh-CN"/>
        </w:rPr>
      </w:pPr>
      <w:r w:rsidRPr="004C29D5">
        <w:rPr>
          <w:rFonts w:ascii="Times New Roman" w:eastAsiaTheme="minorEastAsia" w:hAnsi="Times New Roman"/>
          <w:sz w:val="21"/>
          <w:lang w:eastAsia="zh-CN"/>
        </w:rPr>
        <w:t xml:space="preserve">For </w:t>
      </w:r>
      <w:r w:rsidR="009E1846">
        <w:rPr>
          <w:rFonts w:ascii="Times New Roman" w:eastAsiaTheme="minorEastAsia" w:hAnsi="Times New Roman"/>
          <w:sz w:val="21"/>
          <w:lang w:eastAsia="zh-CN"/>
        </w:rPr>
        <w:t>Alt.</w:t>
      </w:r>
      <w:r w:rsidRPr="004C29D5">
        <w:rPr>
          <w:rFonts w:ascii="Times New Roman" w:eastAsiaTheme="minorEastAsia" w:hAnsi="Times New Roman"/>
          <w:sz w:val="21"/>
          <w:lang w:eastAsia="zh-CN"/>
        </w:rPr>
        <w:t xml:space="preserve">4, the argument </w:t>
      </w:r>
      <w:r w:rsidR="00643F9B">
        <w:rPr>
          <w:rFonts w:ascii="Times New Roman" w:eastAsiaTheme="minorEastAsia" w:hAnsi="Times New Roman"/>
          <w:sz w:val="21"/>
          <w:lang w:eastAsia="zh-CN"/>
        </w:rPr>
        <w:t>is it can provide the best flexi</w:t>
      </w:r>
      <w:r w:rsidRPr="004C29D5">
        <w:rPr>
          <w:rFonts w:ascii="Times New Roman" w:eastAsiaTheme="minorEastAsia" w:hAnsi="Times New Roman"/>
          <w:sz w:val="21"/>
          <w:lang w:eastAsia="zh-CN"/>
        </w:rPr>
        <w:t>b</w:t>
      </w:r>
      <w:r w:rsidR="00643F9B">
        <w:rPr>
          <w:rFonts w:ascii="Times New Roman" w:eastAsiaTheme="minorEastAsia" w:hAnsi="Times New Roman"/>
          <w:sz w:val="21"/>
          <w:lang w:eastAsia="zh-CN"/>
        </w:rPr>
        <w:t>i</w:t>
      </w:r>
      <w:r w:rsidRPr="004C29D5">
        <w:rPr>
          <w:rFonts w:ascii="Times New Roman" w:eastAsiaTheme="minorEastAsia" w:hAnsi="Times New Roman"/>
          <w:sz w:val="21"/>
          <w:lang w:eastAsia="zh-CN"/>
        </w:rPr>
        <w:t>lity</w:t>
      </w:r>
      <w:r w:rsidR="00643F9B">
        <w:rPr>
          <w:rFonts w:ascii="Times New Roman" w:eastAsiaTheme="minorEastAsia" w:hAnsi="Times New Roman"/>
          <w:sz w:val="21"/>
          <w:lang w:eastAsia="zh-CN"/>
        </w:rPr>
        <w:t xml:space="preserve"> </w:t>
      </w:r>
      <w:r w:rsidRPr="004C29D5">
        <w:rPr>
          <w:rFonts w:ascii="Times New Roman" w:eastAsiaTheme="minorEastAsia" w:hAnsi="Times New Roman"/>
          <w:sz w:val="21"/>
          <w:lang w:eastAsia="zh-CN"/>
        </w:rPr>
        <w:t xml:space="preserve">and can make sure gNB protects what it really wants to. The situation is quite similar as </w:t>
      </w:r>
      <w:r w:rsidR="009E1846">
        <w:rPr>
          <w:rFonts w:ascii="Times New Roman" w:eastAsiaTheme="minorEastAsia" w:hAnsi="Times New Roman"/>
          <w:sz w:val="21"/>
          <w:lang w:eastAsia="zh-CN"/>
        </w:rPr>
        <w:t>Alt.</w:t>
      </w:r>
      <w:r w:rsidRPr="004C29D5">
        <w:rPr>
          <w:rFonts w:ascii="Times New Roman" w:eastAsiaTheme="minorEastAsia" w:hAnsi="Times New Roman"/>
          <w:sz w:val="21"/>
          <w:lang w:eastAsia="zh-CN"/>
        </w:rPr>
        <w:t>3, it needs additional RRC signal</w:t>
      </w:r>
      <w:r w:rsidR="00F4306F">
        <w:rPr>
          <w:rFonts w:ascii="Times New Roman" w:eastAsiaTheme="minorEastAsia" w:hAnsi="Times New Roman"/>
          <w:sz w:val="21"/>
          <w:lang w:eastAsia="zh-CN"/>
        </w:rPr>
        <w:t>l</w:t>
      </w:r>
      <w:r w:rsidRPr="004C29D5">
        <w:rPr>
          <w:rFonts w:ascii="Times New Roman" w:eastAsiaTheme="minorEastAsia" w:hAnsi="Times New Roman"/>
          <w:sz w:val="21"/>
          <w:lang w:eastAsia="zh-CN"/>
        </w:rPr>
        <w:t>ing overhead and complicates RRC configuration. There are 6 switching cases for 3 band</w:t>
      </w:r>
      <w:r w:rsidR="009E1846">
        <w:rPr>
          <w:rFonts w:ascii="Times New Roman" w:eastAsiaTheme="minorEastAsia" w:hAnsi="Times New Roman"/>
          <w:sz w:val="21"/>
          <w:lang w:eastAsia="zh-CN"/>
        </w:rPr>
        <w:t>s</w:t>
      </w:r>
      <w:r w:rsidRPr="004C29D5">
        <w:rPr>
          <w:rFonts w:ascii="Times New Roman" w:eastAsiaTheme="minorEastAsia" w:hAnsi="Times New Roman"/>
          <w:sz w:val="21"/>
          <w:lang w:eastAsia="zh-CN"/>
        </w:rPr>
        <w:t xml:space="preserve"> and 10 switching cases for 4 bands. </w:t>
      </w:r>
      <w:r w:rsidR="009E1846">
        <w:rPr>
          <w:rFonts w:ascii="Times New Roman" w:eastAsiaTheme="minorEastAsia" w:hAnsi="Times New Roman"/>
          <w:sz w:val="21"/>
          <w:lang w:eastAsia="zh-CN"/>
        </w:rPr>
        <w:t>Alt.4-rev can all</w:t>
      </w:r>
      <w:r w:rsidRPr="004C29D5">
        <w:rPr>
          <w:rFonts w:ascii="Times New Roman" w:eastAsiaTheme="minorEastAsia" w:hAnsi="Times New Roman"/>
          <w:sz w:val="21"/>
          <w:lang w:eastAsia="zh-CN"/>
        </w:rPr>
        <w:t>ev</w:t>
      </w:r>
      <w:r w:rsidR="009E1846">
        <w:rPr>
          <w:rFonts w:ascii="Times New Roman" w:eastAsiaTheme="minorEastAsia" w:hAnsi="Times New Roman" w:hint="eastAsia"/>
          <w:sz w:val="21"/>
          <w:lang w:eastAsia="zh-CN"/>
        </w:rPr>
        <w:t>i</w:t>
      </w:r>
      <w:r w:rsidRPr="004C29D5">
        <w:rPr>
          <w:rFonts w:ascii="Times New Roman" w:eastAsiaTheme="minorEastAsia" w:hAnsi="Times New Roman"/>
          <w:sz w:val="21"/>
          <w:lang w:eastAsia="zh-CN"/>
        </w:rPr>
        <w:t>ate the RRC signal</w:t>
      </w:r>
      <w:r w:rsidR="00F4306F">
        <w:rPr>
          <w:rFonts w:ascii="Times New Roman" w:eastAsiaTheme="minorEastAsia" w:hAnsi="Times New Roman"/>
          <w:sz w:val="21"/>
          <w:lang w:eastAsia="zh-CN"/>
        </w:rPr>
        <w:t>l</w:t>
      </w:r>
      <w:r w:rsidRPr="004C29D5">
        <w:rPr>
          <w:rFonts w:ascii="Times New Roman" w:eastAsiaTheme="minorEastAsia" w:hAnsi="Times New Roman"/>
          <w:sz w:val="21"/>
          <w:lang w:eastAsia="zh-CN"/>
        </w:rPr>
        <w:t>ing overhead a bit.</w:t>
      </w:r>
    </w:p>
    <w:p w14:paraId="1332A053" w14:textId="63402755" w:rsidR="004C29D5" w:rsidRPr="004C29D5" w:rsidRDefault="009E1846" w:rsidP="00D26B80">
      <w:pPr>
        <w:spacing w:beforeLines="50" w:before="120"/>
        <w:ind w:left="0" w:firstLine="0"/>
        <w:jc w:val="both"/>
        <w:rPr>
          <w:rFonts w:ascii="Times New Roman" w:eastAsiaTheme="minorEastAsia" w:hAnsi="Times New Roman"/>
          <w:sz w:val="21"/>
          <w:lang w:eastAsia="zh-CN"/>
        </w:rPr>
      </w:pPr>
      <w:r>
        <w:rPr>
          <w:rFonts w:ascii="Times New Roman" w:eastAsiaTheme="minorEastAsia" w:hAnsi="Times New Roman"/>
          <w:sz w:val="21"/>
          <w:lang w:eastAsia="zh-CN"/>
        </w:rPr>
        <w:t>Alt.</w:t>
      </w:r>
      <w:r w:rsidR="004C29D5" w:rsidRPr="004C29D5">
        <w:rPr>
          <w:rFonts w:ascii="Times New Roman" w:eastAsiaTheme="minorEastAsia" w:hAnsi="Times New Roman"/>
          <w:sz w:val="21"/>
          <w:lang w:eastAsia="zh-CN"/>
        </w:rPr>
        <w:t xml:space="preserve">5 </w:t>
      </w:r>
      <w:r w:rsidR="004C25B0">
        <w:rPr>
          <w:rFonts w:ascii="Times New Roman" w:eastAsiaTheme="minorEastAsia" w:hAnsi="Times New Roman"/>
          <w:sz w:val="21"/>
          <w:lang w:eastAsia="zh-CN"/>
        </w:rPr>
        <w:t>is not a complete solution. The definition of priority is ambiguous. If only high priority and low priority are defined, it does not resolve the issue. If more than two priorities are defined, we fail to see the difference between alt. 3 and alt.</w:t>
      </w:r>
      <w:r w:rsidR="00E15A2C">
        <w:rPr>
          <w:rFonts w:ascii="Times New Roman" w:eastAsiaTheme="minorEastAsia" w:hAnsi="Times New Roman"/>
          <w:sz w:val="21"/>
          <w:lang w:eastAsia="zh-CN"/>
        </w:rPr>
        <w:t xml:space="preserve"> </w:t>
      </w:r>
      <w:r w:rsidR="004C25B0">
        <w:rPr>
          <w:rFonts w:ascii="Times New Roman" w:eastAsiaTheme="minorEastAsia" w:hAnsi="Times New Roman"/>
          <w:sz w:val="21"/>
          <w:lang w:eastAsia="zh-CN"/>
        </w:rPr>
        <w:t>5.</w:t>
      </w:r>
    </w:p>
    <w:p w14:paraId="183D5371" w14:textId="712FB82D" w:rsidR="004C29D5" w:rsidRDefault="004C29D5" w:rsidP="00D26B80">
      <w:pPr>
        <w:spacing w:beforeLines="50" w:before="120" w:afterLines="50" w:after="120"/>
        <w:ind w:left="0" w:firstLine="0"/>
        <w:jc w:val="both"/>
        <w:rPr>
          <w:rFonts w:ascii="Times New Roman" w:eastAsiaTheme="minorEastAsia" w:hAnsi="Times New Roman"/>
          <w:sz w:val="21"/>
          <w:lang w:eastAsia="zh-CN"/>
        </w:rPr>
      </w:pPr>
      <w:r w:rsidRPr="004C29D5">
        <w:rPr>
          <w:rFonts w:ascii="Times New Roman" w:eastAsiaTheme="minorEastAsia" w:hAnsi="Times New Roman"/>
          <w:sz w:val="21"/>
          <w:lang w:eastAsia="zh-CN"/>
        </w:rPr>
        <w:lastRenderedPageBreak/>
        <w:t xml:space="preserve">From </w:t>
      </w:r>
      <w:r>
        <w:rPr>
          <w:rFonts w:ascii="Times New Roman" w:eastAsiaTheme="minorEastAsia" w:hAnsi="Times New Roman"/>
          <w:sz w:val="21"/>
          <w:lang w:eastAsia="zh-CN"/>
        </w:rPr>
        <w:t>our</w:t>
      </w:r>
      <w:r w:rsidRPr="004C29D5">
        <w:rPr>
          <w:rFonts w:ascii="Times New Roman" w:eastAsiaTheme="minorEastAsia" w:hAnsi="Times New Roman"/>
          <w:sz w:val="21"/>
          <w:lang w:eastAsia="zh-CN"/>
        </w:rPr>
        <w:t xml:space="preserve"> perspective, even the current mechanism is sufficient whi</w:t>
      </w:r>
      <w:r w:rsidR="00452720">
        <w:rPr>
          <w:rFonts w:ascii="Times New Roman" w:eastAsiaTheme="minorEastAsia" w:hAnsi="Times New Roman"/>
          <w:sz w:val="21"/>
          <w:lang w:eastAsia="zh-CN"/>
        </w:rPr>
        <w:t>ch</w:t>
      </w:r>
      <w:r w:rsidRPr="004C29D5">
        <w:rPr>
          <w:rFonts w:ascii="Times New Roman" w:eastAsiaTheme="minorEastAsia" w:hAnsi="Times New Roman"/>
          <w:sz w:val="21"/>
          <w:lang w:eastAsia="zh-CN"/>
        </w:rPr>
        <w:t xml:space="preserve"> gNB implementation. For example, gNB make</w:t>
      </w:r>
      <w:r w:rsidR="004C25B0">
        <w:rPr>
          <w:rFonts w:ascii="Times New Roman" w:eastAsiaTheme="minorEastAsia" w:hAnsi="Times New Roman"/>
          <w:sz w:val="21"/>
          <w:lang w:eastAsia="zh-CN"/>
        </w:rPr>
        <w:t>s</w:t>
      </w:r>
      <w:r w:rsidRPr="004C29D5">
        <w:rPr>
          <w:rFonts w:ascii="Times New Roman" w:eastAsiaTheme="minorEastAsia" w:hAnsi="Times New Roman"/>
          <w:sz w:val="21"/>
          <w:lang w:eastAsia="zh-CN"/>
        </w:rPr>
        <w:t xml:space="preserve"> sure the bands with switching period are not coupled together. The penalty is additional restriction on scheduling, which may not be expected.</w:t>
      </w:r>
    </w:p>
    <w:p w14:paraId="2C644A3C" w14:textId="36A1ABAA" w:rsidR="007153F5" w:rsidRPr="00E15A2C" w:rsidRDefault="004C29D5" w:rsidP="007153F5">
      <w:pPr>
        <w:overflowPunct w:val="0"/>
        <w:autoSpaceDE w:val="0"/>
        <w:autoSpaceDN w:val="0"/>
        <w:adjustRightInd w:val="0"/>
        <w:spacing w:afterLines="50" w:after="120"/>
        <w:jc w:val="both"/>
        <w:textAlignment w:val="baseline"/>
        <w:rPr>
          <w:rFonts w:ascii="Times New Roman" w:eastAsia="MS Mincho" w:hAnsi="Times New Roman"/>
          <w:b/>
          <w:i/>
          <w:sz w:val="21"/>
          <w:szCs w:val="20"/>
        </w:rPr>
      </w:pPr>
      <w:r w:rsidRPr="00E15A2C">
        <w:rPr>
          <w:rFonts w:ascii="Times New Roman" w:hAnsi="Times New Roman"/>
          <w:b/>
          <w:bCs/>
          <w:i/>
          <w:sz w:val="21"/>
          <w:szCs w:val="20"/>
          <w:lang w:eastAsia="ja-JP"/>
        </w:rPr>
        <w:t xml:space="preserve">Proposal 2: </w:t>
      </w:r>
      <w:r w:rsidR="00452720" w:rsidRPr="00E15A2C">
        <w:rPr>
          <w:rFonts w:ascii="Times New Roman" w:eastAsia="MS Mincho" w:hAnsi="Times New Roman"/>
          <w:b/>
          <w:i/>
          <w:sz w:val="21"/>
          <w:szCs w:val="20"/>
        </w:rPr>
        <w:t>S</w:t>
      </w:r>
      <w:r w:rsidR="007153F5" w:rsidRPr="00E15A2C">
        <w:rPr>
          <w:rFonts w:ascii="Times New Roman" w:eastAsia="MS Mincho" w:hAnsi="Times New Roman"/>
          <w:b/>
          <w:i/>
          <w:sz w:val="21"/>
          <w:szCs w:val="20"/>
        </w:rPr>
        <w:t xml:space="preserve">witching period location </w:t>
      </w:r>
      <w:r w:rsidR="00452720" w:rsidRPr="00E15A2C">
        <w:rPr>
          <w:rFonts w:ascii="Times New Roman" w:eastAsia="MS Mincho" w:hAnsi="Times New Roman"/>
          <w:b/>
          <w:i/>
          <w:sz w:val="21"/>
          <w:szCs w:val="20"/>
        </w:rPr>
        <w:t>should be</w:t>
      </w:r>
      <w:r w:rsidR="007153F5" w:rsidRPr="00E15A2C">
        <w:rPr>
          <w:rFonts w:ascii="Times New Roman" w:eastAsia="MS Mincho" w:hAnsi="Times New Roman"/>
          <w:b/>
          <w:i/>
          <w:sz w:val="21"/>
          <w:szCs w:val="20"/>
        </w:rPr>
        <w:t xml:space="preserve"> configured per band pair</w:t>
      </w:r>
    </w:p>
    <w:p w14:paraId="1E80BC1C" w14:textId="66138F4D" w:rsidR="007153F5" w:rsidRPr="00E15A2C" w:rsidRDefault="007153F5" w:rsidP="007153F5">
      <w:pPr>
        <w:pStyle w:val="aff0"/>
        <w:numPr>
          <w:ilvl w:val="1"/>
          <w:numId w:val="41"/>
        </w:numPr>
        <w:overflowPunct w:val="0"/>
        <w:autoSpaceDE w:val="0"/>
        <w:autoSpaceDN w:val="0"/>
        <w:adjustRightInd w:val="0"/>
        <w:spacing w:afterLines="50" w:after="120"/>
        <w:ind w:leftChars="0"/>
        <w:jc w:val="both"/>
        <w:textAlignment w:val="baseline"/>
        <w:rPr>
          <w:rFonts w:ascii="Times New Roman" w:eastAsia="MS Mincho" w:hAnsi="Times New Roman"/>
          <w:b/>
          <w:i/>
          <w:sz w:val="21"/>
          <w:szCs w:val="20"/>
        </w:rPr>
      </w:pPr>
      <w:r w:rsidRPr="00E15A2C">
        <w:rPr>
          <w:rFonts w:ascii="Times New Roman" w:eastAsia="MS Mincho" w:hAnsi="Times New Roman"/>
          <w:b/>
          <w:i/>
          <w:sz w:val="21"/>
          <w:szCs w:val="20"/>
        </w:rPr>
        <w:t>If there are multiple bands configured with switching period location as TRUE in the bands involved in a switching, the switching period location is determined to highest carrier frequency among the bands configured with switching period location as TRUE</w:t>
      </w:r>
      <w:r w:rsidR="00232AD8" w:rsidRPr="00E15A2C">
        <w:rPr>
          <w:rFonts w:ascii="Times New Roman" w:eastAsia="MS Mincho" w:hAnsi="Times New Roman"/>
          <w:b/>
          <w:i/>
          <w:sz w:val="21"/>
          <w:szCs w:val="20"/>
        </w:rPr>
        <w:t>.</w:t>
      </w:r>
    </w:p>
    <w:p w14:paraId="166426A2" w14:textId="67AAD178" w:rsidR="009925D6" w:rsidRDefault="009B0D59" w:rsidP="00643F9B">
      <w:pPr>
        <w:pStyle w:val="2"/>
        <w:ind w:left="567"/>
        <w:rPr>
          <w:rFonts w:eastAsia="宋体"/>
          <w:b w:val="0"/>
          <w:i w:val="0"/>
          <w:sz w:val="30"/>
          <w:szCs w:val="30"/>
        </w:rPr>
      </w:pPr>
      <w:r w:rsidRPr="00452720">
        <w:rPr>
          <w:rFonts w:eastAsia="宋体"/>
          <w:b w:val="0"/>
          <w:i w:val="0"/>
          <w:sz w:val="30"/>
          <w:szCs w:val="30"/>
        </w:rPr>
        <w:t>P</w:t>
      </w:r>
      <w:r w:rsidR="00643F9B" w:rsidRPr="00452720">
        <w:rPr>
          <w:rFonts w:eastAsia="宋体"/>
          <w:b w:val="0"/>
          <w:i w:val="0"/>
          <w:sz w:val="30"/>
          <w:szCs w:val="30"/>
        </w:rPr>
        <w:t>otential ambiguity on switching number</w:t>
      </w:r>
    </w:p>
    <w:p w14:paraId="1F32E56D" w14:textId="6BD65A43" w:rsidR="006D1030" w:rsidRPr="00617903" w:rsidRDefault="006D1030" w:rsidP="00E15A2C">
      <w:pPr>
        <w:spacing w:afterLines="50" w:after="120"/>
        <w:ind w:left="0" w:firstLine="0"/>
        <w:rPr>
          <w:rFonts w:ascii="Times New Roman" w:eastAsiaTheme="minorEastAsia" w:hAnsi="Times New Roman"/>
          <w:sz w:val="21"/>
          <w:lang w:eastAsia="zh-CN"/>
        </w:rPr>
      </w:pPr>
      <w:r w:rsidRPr="00617903">
        <w:rPr>
          <w:rFonts w:ascii="Times New Roman" w:eastAsiaTheme="minorEastAsia" w:hAnsi="Times New Roman"/>
          <w:sz w:val="21"/>
          <w:lang w:eastAsia="zh-CN"/>
        </w:rPr>
        <w:t>In RAN4#105 meeting, RAN4 further discussed ambiguity issue when two Tx chains are switched between two different band pairs, and the following consensus was achieved:</w:t>
      </w:r>
      <w:r w:rsidRPr="00617903">
        <w:rPr>
          <w:rFonts w:ascii="Times New Roman" w:eastAsiaTheme="minorEastAsia" w:hAnsi="Times New Roman"/>
          <w:sz w:val="21"/>
          <w:lang w:eastAsia="zh-CN"/>
        </w:rPr>
        <w:fldChar w:fldCharType="begin"/>
      </w:r>
      <w:r w:rsidRPr="00617903">
        <w:rPr>
          <w:rFonts w:ascii="Times New Roman" w:eastAsiaTheme="minorEastAsia" w:hAnsi="Times New Roman"/>
          <w:sz w:val="21"/>
          <w:lang w:eastAsia="zh-CN"/>
        </w:rPr>
        <w:instrText xml:space="preserve"> REF _Ref127188833 \r \h </w:instrText>
      </w:r>
      <w:r w:rsidR="00617903" w:rsidRPr="00E15A2C">
        <w:rPr>
          <w:rFonts w:ascii="Times New Roman" w:eastAsiaTheme="minorEastAsia" w:hAnsi="Times New Roman"/>
          <w:sz w:val="21"/>
          <w:lang w:eastAsia="zh-CN"/>
        </w:rPr>
        <w:instrText xml:space="preserve"> \* MERGEFORMAT </w:instrText>
      </w:r>
      <w:r w:rsidRPr="00617903">
        <w:rPr>
          <w:rFonts w:ascii="Times New Roman" w:eastAsiaTheme="minorEastAsia" w:hAnsi="Times New Roman"/>
          <w:sz w:val="21"/>
          <w:lang w:eastAsia="zh-CN"/>
        </w:rPr>
      </w:r>
      <w:r w:rsidRPr="00617903">
        <w:rPr>
          <w:rFonts w:ascii="Times New Roman" w:eastAsiaTheme="minorEastAsia" w:hAnsi="Times New Roman"/>
          <w:sz w:val="21"/>
          <w:lang w:eastAsia="zh-CN"/>
        </w:rPr>
        <w:fldChar w:fldCharType="separate"/>
      </w:r>
      <w:r w:rsidRPr="00617903">
        <w:rPr>
          <w:rFonts w:ascii="Times New Roman" w:eastAsiaTheme="minorEastAsia" w:hAnsi="Times New Roman"/>
          <w:sz w:val="21"/>
          <w:lang w:eastAsia="zh-CN"/>
        </w:rPr>
        <w:t>[2]</w:t>
      </w:r>
      <w:r w:rsidRPr="00617903">
        <w:rPr>
          <w:rFonts w:ascii="Times New Roman" w:eastAsiaTheme="minorEastAsia" w:hAnsi="Times New Roman"/>
          <w:sz w:val="21"/>
          <w:lang w:eastAsia="zh-CN"/>
        </w:rPr>
        <w:fldChar w:fldCharType="end"/>
      </w:r>
    </w:p>
    <w:tbl>
      <w:tblPr>
        <w:tblStyle w:val="af1"/>
        <w:tblW w:w="0" w:type="auto"/>
        <w:tblLook w:val="04A0" w:firstRow="1" w:lastRow="0" w:firstColumn="1" w:lastColumn="0" w:noHBand="0" w:noVBand="1"/>
      </w:tblPr>
      <w:tblGrid>
        <w:gridCol w:w="9631"/>
      </w:tblGrid>
      <w:tr w:rsidR="006D1030" w14:paraId="7E665DDC" w14:textId="77777777" w:rsidTr="006D1030">
        <w:tc>
          <w:tcPr>
            <w:tcW w:w="9631" w:type="dxa"/>
          </w:tcPr>
          <w:p w14:paraId="16D7EC2B" w14:textId="77777777" w:rsidR="006D1030" w:rsidRPr="00F86167" w:rsidRDefault="006D1030" w:rsidP="006D1030">
            <w:pPr>
              <w:spacing w:afterLines="50" w:after="120"/>
              <w:rPr>
                <w:rFonts w:ascii="Arial" w:eastAsia="宋体" w:hAnsi="Arial" w:cs="Arial"/>
                <w:b/>
                <w:bCs/>
                <w:iCs/>
                <w:lang w:val="en-US" w:eastAsia="zh-CN"/>
              </w:rPr>
            </w:pPr>
            <w:r w:rsidRPr="00F86167">
              <w:rPr>
                <w:rFonts w:ascii="Arial" w:eastAsia="宋体" w:hAnsi="Arial" w:cs="Arial"/>
                <w:b/>
                <w:bCs/>
                <w:iCs/>
                <w:lang w:val="en-US" w:eastAsia="zh-CN"/>
              </w:rPr>
              <w:t xml:space="preserve">Issue </w:t>
            </w:r>
            <w:r>
              <w:rPr>
                <w:rFonts w:ascii="Arial" w:eastAsia="宋体" w:hAnsi="Arial" w:cs="Arial" w:hint="eastAsia"/>
                <w:b/>
                <w:bCs/>
                <w:iCs/>
                <w:lang w:val="en-US" w:eastAsia="zh-CN"/>
              </w:rPr>
              <w:t>2</w:t>
            </w:r>
            <w:r w:rsidRPr="00F86167">
              <w:rPr>
                <w:rFonts w:ascii="Arial" w:eastAsia="宋体" w:hAnsi="Arial" w:cs="Arial"/>
                <w:b/>
                <w:bCs/>
                <w:iCs/>
                <w:lang w:val="en-US" w:eastAsia="zh-CN"/>
              </w:rPr>
              <w:t xml:space="preserve">: </w:t>
            </w:r>
            <w:r w:rsidRPr="00F86167">
              <w:rPr>
                <w:rFonts w:ascii="Arial" w:eastAsia="宋体" w:hAnsi="Arial" w:cs="Arial" w:hint="eastAsia"/>
                <w:b/>
                <w:bCs/>
                <w:iCs/>
                <w:lang w:val="en-US" w:eastAsia="zh-CN"/>
              </w:rPr>
              <w:t>A</w:t>
            </w:r>
            <w:r w:rsidRPr="00F86167">
              <w:rPr>
                <w:rFonts w:ascii="Arial" w:eastAsia="宋体" w:hAnsi="Arial" w:cs="Arial"/>
                <w:b/>
                <w:bCs/>
                <w:iCs/>
                <w:lang w:val="en-US" w:eastAsia="zh-CN"/>
              </w:rPr>
              <w:t xml:space="preserve">mbiguity </w:t>
            </w:r>
            <w:r w:rsidRPr="00F86167">
              <w:rPr>
                <w:rFonts w:ascii="Arial" w:eastAsia="宋体" w:hAnsi="Arial" w:cs="Arial" w:hint="eastAsia"/>
                <w:b/>
                <w:bCs/>
                <w:iCs/>
                <w:lang w:val="en-US" w:eastAsia="zh-CN"/>
              </w:rPr>
              <w:t>issue when two Tx chains are switched between two different band pairs</w:t>
            </w:r>
          </w:p>
          <w:p w14:paraId="748BEBE2" w14:textId="77777777" w:rsidR="006D1030" w:rsidRPr="00F86167" w:rsidRDefault="006D1030" w:rsidP="006D1030">
            <w:pPr>
              <w:tabs>
                <w:tab w:val="center" w:pos="4153"/>
                <w:tab w:val="right" w:pos="8306"/>
              </w:tabs>
              <w:snapToGrid w:val="0"/>
              <w:spacing w:after="120"/>
              <w:ind w:left="0" w:firstLine="0"/>
              <w:rPr>
                <w:rFonts w:ascii="Arial" w:eastAsia="宋体" w:hAnsi="Arial" w:cs="Arial"/>
                <w:bCs/>
                <w:iCs/>
                <w:lang w:val="en-US" w:eastAsia="zh-CN"/>
              </w:rPr>
            </w:pPr>
            <w:r w:rsidRPr="00F86167">
              <w:rPr>
                <w:rFonts w:ascii="Arial" w:eastAsia="宋体" w:hAnsi="Arial" w:cs="Arial"/>
                <w:bCs/>
                <w:iCs/>
                <w:lang w:val="en-US" w:eastAsia="zh-CN"/>
              </w:rPr>
              <w:t>For Rel-18 UL Tx switching among 4 bands, when switching from 1T+1T on band A and B to 1T+1T on band C and D is performed,</w:t>
            </w:r>
            <w:r>
              <w:rPr>
                <w:rFonts w:ascii="Arial" w:eastAsia="宋体" w:hAnsi="Arial" w:cs="Arial" w:hint="eastAsia"/>
                <w:bCs/>
                <w:iCs/>
                <w:lang w:val="en-US" w:eastAsia="zh-CN"/>
              </w:rPr>
              <w:t xml:space="preserve"> and</w:t>
            </w:r>
            <w:r w:rsidRPr="00F86167">
              <w:rPr>
                <w:rFonts w:ascii="Arial" w:eastAsia="宋体" w:hAnsi="Arial" w:cs="Arial" w:hint="eastAsia"/>
                <w:bCs/>
                <w:iCs/>
                <w:lang w:val="en-US" w:eastAsia="zh-CN"/>
              </w:rPr>
              <w:t xml:space="preserve"> </w:t>
            </w:r>
            <w:r w:rsidRPr="00F86167">
              <w:rPr>
                <w:rFonts w:ascii="Arial" w:eastAsia="宋体" w:hAnsi="Arial" w:cs="Arial"/>
                <w:bCs/>
                <w:iCs/>
                <w:lang w:val="en-US" w:eastAsia="zh-CN"/>
              </w:rPr>
              <w:t>it is not clear whether UE performs Tx switching {from band A to C + B to D} or {from band A to D + B to C}</w:t>
            </w:r>
            <w:r>
              <w:rPr>
                <w:rFonts w:ascii="Arial" w:eastAsia="宋体" w:hAnsi="Arial" w:cs="Arial" w:hint="eastAsia"/>
                <w:bCs/>
                <w:iCs/>
                <w:lang w:val="en-US" w:eastAsia="zh-CN"/>
              </w:rPr>
              <w:t>, RAN4 agreed that:</w:t>
            </w:r>
          </w:p>
          <w:p w14:paraId="36E53B22" w14:textId="77777777" w:rsidR="006D1030" w:rsidRPr="00A67CC5" w:rsidRDefault="006D1030" w:rsidP="006D1030">
            <w:pPr>
              <w:numPr>
                <w:ilvl w:val="0"/>
                <w:numId w:val="42"/>
              </w:numPr>
              <w:tabs>
                <w:tab w:val="num" w:pos="426"/>
                <w:tab w:val="num" w:pos="484"/>
                <w:tab w:val="num" w:pos="851"/>
                <w:tab w:val="num" w:pos="1440"/>
                <w:tab w:val="center" w:pos="4153"/>
                <w:tab w:val="right" w:pos="8306"/>
              </w:tabs>
              <w:snapToGrid w:val="0"/>
              <w:spacing w:after="120"/>
              <w:ind w:leftChars="71" w:left="422" w:hangingChars="140" w:hanging="280"/>
              <w:rPr>
                <w:rFonts w:ascii="Arial" w:eastAsia="宋体" w:hAnsi="Arial" w:cs="Arial"/>
                <w:szCs w:val="21"/>
              </w:rPr>
            </w:pPr>
            <w:r w:rsidRPr="00F86167">
              <w:rPr>
                <w:rFonts w:ascii="Arial" w:eastAsia="宋体" w:hAnsi="Arial" w:cs="Arial"/>
                <w:szCs w:val="21"/>
              </w:rPr>
              <w:t xml:space="preserve">As baseline UE assumption, </w:t>
            </w:r>
            <w:r w:rsidRPr="00F86167">
              <w:rPr>
                <w:rFonts w:ascii="Arial" w:eastAsia="宋体" w:hAnsi="Arial" w:cs="Arial"/>
                <w:szCs w:val="21"/>
                <w:lang w:eastAsia="zh-CN"/>
              </w:rPr>
              <w:t>n</w:t>
            </w:r>
            <w:r w:rsidRPr="00A67CC5">
              <w:rPr>
                <w:rFonts w:ascii="Arial" w:eastAsia="宋体" w:hAnsi="Arial" w:cs="Arial"/>
                <w:szCs w:val="21"/>
              </w:rPr>
              <w:t xml:space="preserve">o need to resolve the ambiguity issue of the switching pattern for </w:t>
            </w:r>
            <w:r w:rsidRPr="00A67CC5">
              <w:rPr>
                <w:rFonts w:ascii="Arial" w:eastAsia="MS Gothic" w:hAnsi="Arial" w:cs="Arial"/>
                <w:szCs w:val="21"/>
                <w:lang w:val="en-US" w:eastAsia="zh-CN"/>
              </w:rPr>
              <w:t>each</w:t>
            </w:r>
            <w:r w:rsidRPr="00A67CC5">
              <w:rPr>
                <w:rFonts w:ascii="Arial" w:eastAsia="宋体" w:hAnsi="Arial" w:cs="Arial"/>
                <w:szCs w:val="21"/>
              </w:rPr>
              <w:t xml:space="preserve"> Tx chain and </w:t>
            </w:r>
            <w:r w:rsidRPr="00A67CC5">
              <w:rPr>
                <w:rFonts w:ascii="Arial" w:eastAsia="宋体" w:hAnsi="Arial" w:cs="Arial"/>
                <w:bCs/>
                <w:iCs/>
                <w:lang w:val="en-US" w:eastAsia="zh-CN"/>
              </w:rPr>
              <w:t>determine</w:t>
            </w:r>
            <w:r w:rsidRPr="00A67CC5">
              <w:rPr>
                <w:rFonts w:ascii="Arial" w:eastAsia="宋体" w:hAnsi="Arial" w:cs="Arial"/>
                <w:szCs w:val="21"/>
              </w:rPr>
              <w:t xml:space="preserve"> the switching gap based on the worst case</w:t>
            </w:r>
            <w:r>
              <w:rPr>
                <w:rFonts w:ascii="Arial" w:eastAsia="宋体" w:hAnsi="Arial" w:cs="Arial" w:hint="eastAsia"/>
                <w:szCs w:val="21"/>
                <w:lang w:eastAsia="zh-CN"/>
              </w:rPr>
              <w:t xml:space="preserve"> by default</w:t>
            </w:r>
            <w:r w:rsidRPr="00A67CC5">
              <w:rPr>
                <w:rFonts w:ascii="Arial" w:eastAsia="宋体" w:hAnsi="Arial" w:cs="Arial"/>
                <w:szCs w:val="21"/>
              </w:rPr>
              <w:t xml:space="preserve">, i.e., neither of the two Tx chains is expected to be used for transmission during the maximum of the four </w:t>
            </w:r>
            <w:r w:rsidRPr="00A67CC5">
              <w:rPr>
                <w:rFonts w:ascii="Arial" w:hAnsi="Arial" w:cs="Arial"/>
                <w:bCs/>
                <w:szCs w:val="21"/>
              </w:rPr>
              <w:t>switching periods, i.e., max {T</w:t>
            </w:r>
            <w:r w:rsidRPr="00A67CC5">
              <w:rPr>
                <w:rFonts w:ascii="Arial" w:hAnsi="Arial" w:cs="Arial"/>
                <w:bCs/>
                <w:szCs w:val="21"/>
                <w:vertAlign w:val="subscript"/>
              </w:rPr>
              <w:t>switch_A-C</w:t>
            </w:r>
            <w:r w:rsidRPr="00A67CC5">
              <w:rPr>
                <w:rFonts w:ascii="Arial" w:hAnsi="Arial" w:cs="Arial"/>
                <w:bCs/>
                <w:szCs w:val="21"/>
              </w:rPr>
              <w:t>, T</w:t>
            </w:r>
            <w:r w:rsidRPr="00A67CC5">
              <w:rPr>
                <w:rFonts w:ascii="Arial" w:hAnsi="Arial" w:cs="Arial"/>
                <w:bCs/>
                <w:szCs w:val="21"/>
                <w:vertAlign w:val="subscript"/>
              </w:rPr>
              <w:t>switch_B-D</w:t>
            </w:r>
            <w:r w:rsidRPr="00A67CC5">
              <w:rPr>
                <w:rFonts w:ascii="Arial" w:hAnsi="Arial" w:cs="Arial"/>
                <w:bCs/>
                <w:szCs w:val="21"/>
              </w:rPr>
              <w:t>, T</w:t>
            </w:r>
            <w:r w:rsidRPr="00A67CC5">
              <w:rPr>
                <w:rFonts w:ascii="Arial" w:hAnsi="Arial" w:cs="Arial"/>
                <w:bCs/>
                <w:szCs w:val="21"/>
                <w:vertAlign w:val="subscript"/>
              </w:rPr>
              <w:t>switch_A-D</w:t>
            </w:r>
            <w:r w:rsidRPr="00A67CC5">
              <w:rPr>
                <w:rFonts w:ascii="Arial" w:hAnsi="Arial" w:cs="Arial"/>
                <w:bCs/>
                <w:szCs w:val="21"/>
              </w:rPr>
              <w:t>, T</w:t>
            </w:r>
            <w:r w:rsidRPr="00A67CC5">
              <w:rPr>
                <w:rFonts w:ascii="Arial" w:hAnsi="Arial" w:cs="Arial"/>
                <w:bCs/>
                <w:szCs w:val="21"/>
                <w:vertAlign w:val="subscript"/>
              </w:rPr>
              <w:t>switch_B-C</w:t>
            </w:r>
            <w:r w:rsidRPr="00A67CC5">
              <w:rPr>
                <w:rFonts w:ascii="Arial" w:hAnsi="Arial" w:cs="Arial"/>
                <w:bCs/>
                <w:szCs w:val="21"/>
              </w:rPr>
              <w:t>}.</w:t>
            </w:r>
          </w:p>
          <w:p w14:paraId="14BEFFC1" w14:textId="6FAD0A08" w:rsidR="006D1030" w:rsidRPr="006D1030" w:rsidRDefault="006D1030" w:rsidP="006D1030">
            <w:pPr>
              <w:tabs>
                <w:tab w:val="num" w:pos="484"/>
                <w:tab w:val="num" w:pos="709"/>
                <w:tab w:val="num" w:pos="851"/>
                <w:tab w:val="num" w:pos="1440"/>
                <w:tab w:val="center" w:pos="4153"/>
                <w:tab w:val="right" w:pos="8306"/>
              </w:tabs>
              <w:snapToGrid w:val="0"/>
              <w:spacing w:after="120"/>
              <w:ind w:left="31" w:firstLine="0"/>
              <w:rPr>
                <w:rFonts w:ascii="Arial" w:hAnsi="Arial" w:cs="Arial"/>
                <w:bCs/>
                <w:szCs w:val="21"/>
              </w:rPr>
            </w:pPr>
            <w:r w:rsidRPr="00F86167">
              <w:rPr>
                <w:rFonts w:ascii="Arial" w:eastAsia="宋体" w:hAnsi="Arial" w:cs="Arial"/>
                <w:szCs w:val="21"/>
                <w:lang w:eastAsia="zh-CN"/>
              </w:rPr>
              <w:t>Note</w:t>
            </w:r>
            <w:r w:rsidRPr="00A67CC5">
              <w:rPr>
                <w:rFonts w:ascii="Arial" w:hAnsi="Arial" w:cs="Arial"/>
                <w:szCs w:val="21"/>
              </w:rPr>
              <w:t xml:space="preserve">: </w:t>
            </w:r>
            <w:r w:rsidRPr="00A67CC5">
              <w:rPr>
                <w:rFonts w:ascii="Arial" w:hAnsi="Arial" w:cs="Arial"/>
                <w:bCs/>
                <w:szCs w:val="21"/>
              </w:rPr>
              <w:t>T</w:t>
            </w:r>
            <w:r w:rsidRPr="00A67CC5">
              <w:rPr>
                <w:rFonts w:ascii="Arial" w:hAnsi="Arial" w:cs="Arial"/>
                <w:bCs/>
                <w:szCs w:val="21"/>
                <w:vertAlign w:val="subscript"/>
              </w:rPr>
              <w:t>switch_A-C</w:t>
            </w:r>
            <w:r w:rsidRPr="00A67CC5">
              <w:rPr>
                <w:rFonts w:ascii="Arial" w:hAnsi="Arial" w:cs="Arial"/>
                <w:bCs/>
                <w:szCs w:val="21"/>
              </w:rPr>
              <w:t>, T</w:t>
            </w:r>
            <w:r w:rsidRPr="00A67CC5">
              <w:rPr>
                <w:rFonts w:ascii="Arial" w:hAnsi="Arial" w:cs="Arial"/>
                <w:bCs/>
                <w:szCs w:val="21"/>
                <w:vertAlign w:val="subscript"/>
              </w:rPr>
              <w:t>switch_B-D</w:t>
            </w:r>
            <w:r w:rsidRPr="00A67CC5">
              <w:rPr>
                <w:rFonts w:ascii="Arial" w:hAnsi="Arial" w:cs="Arial"/>
                <w:bCs/>
                <w:szCs w:val="21"/>
              </w:rPr>
              <w:t>, T</w:t>
            </w:r>
            <w:r w:rsidRPr="00A67CC5">
              <w:rPr>
                <w:rFonts w:ascii="Arial" w:hAnsi="Arial" w:cs="Arial"/>
                <w:bCs/>
                <w:szCs w:val="21"/>
                <w:vertAlign w:val="subscript"/>
              </w:rPr>
              <w:t>switch_A-D</w:t>
            </w:r>
            <w:r w:rsidRPr="00A67CC5">
              <w:rPr>
                <w:rFonts w:ascii="Arial" w:hAnsi="Arial" w:cs="Arial"/>
                <w:bCs/>
                <w:szCs w:val="21"/>
              </w:rPr>
              <w:t>, T</w:t>
            </w:r>
            <w:r w:rsidRPr="00A67CC5">
              <w:rPr>
                <w:rFonts w:ascii="Arial" w:hAnsi="Arial" w:cs="Arial"/>
                <w:bCs/>
                <w:szCs w:val="21"/>
                <w:vertAlign w:val="subscript"/>
              </w:rPr>
              <w:t xml:space="preserve">switch_B-C </w:t>
            </w:r>
            <w:r w:rsidRPr="00F13D28">
              <w:rPr>
                <w:rFonts w:ascii="Arial" w:eastAsia="宋体" w:hAnsi="Arial" w:cs="Arial" w:hint="eastAsia"/>
                <w:bCs/>
                <w:szCs w:val="21"/>
                <w:lang w:eastAsia="zh-CN"/>
              </w:rPr>
              <w:t>are</w:t>
            </w:r>
            <w:r w:rsidRPr="00A67CC5">
              <w:rPr>
                <w:rFonts w:ascii="Arial" w:hAnsi="Arial" w:cs="Arial"/>
                <w:bCs/>
                <w:szCs w:val="21"/>
              </w:rPr>
              <w:t xml:space="preserve"> the switching period</w:t>
            </w:r>
            <w:r w:rsidRPr="00F13D28">
              <w:rPr>
                <w:rFonts w:ascii="Arial" w:eastAsia="宋体" w:hAnsi="Arial" w:cs="Arial" w:hint="eastAsia"/>
                <w:bCs/>
                <w:szCs w:val="21"/>
                <w:lang w:eastAsia="zh-CN"/>
              </w:rPr>
              <w:t>s</w:t>
            </w:r>
            <w:r w:rsidRPr="00A67CC5">
              <w:rPr>
                <w:rFonts w:ascii="Arial" w:hAnsi="Arial" w:cs="Arial"/>
                <w:bCs/>
                <w:szCs w:val="21"/>
              </w:rPr>
              <w:t xml:space="preserve"> reported by the UE for </w:t>
            </w:r>
            <w:r w:rsidRPr="00A67CC5">
              <w:rPr>
                <w:rFonts w:ascii="Arial" w:eastAsia="宋体" w:hAnsi="Arial" w:cs="Arial"/>
                <w:bCs/>
                <w:szCs w:val="21"/>
              </w:rPr>
              <w:t>band pair</w:t>
            </w:r>
            <w:r w:rsidRPr="00A67CC5">
              <w:rPr>
                <w:rFonts w:ascii="Arial" w:hAnsi="Arial" w:cs="Arial"/>
                <w:bCs/>
                <w:szCs w:val="21"/>
              </w:rPr>
              <w:t xml:space="preserve"> A</w:t>
            </w:r>
            <w:r w:rsidRPr="00A67CC5">
              <w:rPr>
                <w:rFonts w:ascii="Arial" w:eastAsia="宋体" w:hAnsi="Arial" w:cs="Arial"/>
                <w:bCs/>
                <w:szCs w:val="21"/>
              </w:rPr>
              <w:t>&amp;</w:t>
            </w:r>
            <w:r w:rsidRPr="00A67CC5">
              <w:rPr>
                <w:rFonts w:ascii="Arial" w:hAnsi="Arial" w:cs="Arial"/>
                <w:bCs/>
                <w:szCs w:val="21"/>
              </w:rPr>
              <w:t>C, B</w:t>
            </w:r>
            <w:r w:rsidRPr="00A67CC5">
              <w:rPr>
                <w:rFonts w:ascii="Arial" w:eastAsia="宋体" w:hAnsi="Arial" w:cs="Arial"/>
                <w:bCs/>
                <w:szCs w:val="21"/>
              </w:rPr>
              <w:t>&amp;</w:t>
            </w:r>
            <w:r w:rsidRPr="00A67CC5">
              <w:rPr>
                <w:rFonts w:ascii="Arial" w:hAnsi="Arial" w:cs="Arial"/>
                <w:bCs/>
                <w:szCs w:val="21"/>
              </w:rPr>
              <w:t>D,A</w:t>
            </w:r>
            <w:r w:rsidRPr="00A67CC5">
              <w:rPr>
                <w:rFonts w:ascii="Arial" w:eastAsia="宋体" w:hAnsi="Arial" w:cs="Arial"/>
                <w:bCs/>
                <w:szCs w:val="21"/>
              </w:rPr>
              <w:t>&amp;</w:t>
            </w:r>
            <w:r w:rsidRPr="00A67CC5">
              <w:rPr>
                <w:rFonts w:ascii="Arial" w:hAnsi="Arial" w:cs="Arial"/>
                <w:bCs/>
                <w:szCs w:val="21"/>
              </w:rPr>
              <w:t>D and B</w:t>
            </w:r>
            <w:r w:rsidRPr="00A67CC5">
              <w:rPr>
                <w:rFonts w:ascii="Arial" w:eastAsia="宋体" w:hAnsi="Arial" w:cs="Arial"/>
                <w:bCs/>
                <w:szCs w:val="21"/>
              </w:rPr>
              <w:t>&amp;</w:t>
            </w:r>
            <w:r w:rsidRPr="00A67CC5">
              <w:rPr>
                <w:rFonts w:ascii="Arial" w:hAnsi="Arial" w:cs="Arial"/>
                <w:bCs/>
                <w:szCs w:val="21"/>
              </w:rPr>
              <w:t>C, respectively.</w:t>
            </w:r>
          </w:p>
        </w:tc>
      </w:tr>
    </w:tbl>
    <w:p w14:paraId="36EFABB6" w14:textId="77777777" w:rsidR="00A54E2F" w:rsidRDefault="00617903" w:rsidP="00E15A2C">
      <w:pPr>
        <w:spacing w:beforeLines="50" w:before="120"/>
        <w:ind w:left="0" w:firstLine="0"/>
        <w:rPr>
          <w:rFonts w:ascii="Times New Roman" w:eastAsiaTheme="minorEastAsia" w:hAnsi="Times New Roman"/>
          <w:sz w:val="21"/>
          <w:lang w:eastAsia="zh-CN"/>
        </w:rPr>
      </w:pPr>
      <w:r w:rsidRPr="00617903">
        <w:rPr>
          <w:rFonts w:ascii="Times New Roman" w:eastAsiaTheme="minorEastAsia" w:hAnsi="Times New Roman"/>
          <w:sz w:val="21"/>
          <w:lang w:eastAsia="zh-CN"/>
        </w:rPr>
        <w:t xml:space="preserve">With the above mechanism, the switching period </w:t>
      </w:r>
      <w:r>
        <w:rPr>
          <w:rFonts w:ascii="Times New Roman" w:eastAsiaTheme="minorEastAsia" w:hAnsi="Times New Roman"/>
          <w:sz w:val="21"/>
          <w:lang w:eastAsia="zh-CN"/>
        </w:rPr>
        <w:t>for any switching case is clear.</w:t>
      </w:r>
      <w:r w:rsidR="00A54E2F">
        <w:rPr>
          <w:rFonts w:ascii="Times New Roman" w:eastAsiaTheme="minorEastAsia" w:hAnsi="Times New Roman"/>
          <w:sz w:val="21"/>
          <w:lang w:eastAsia="zh-CN"/>
        </w:rPr>
        <w:t xml:space="preserve"> There are three different cases for UL Tx switching across four bands, as shown in </w:t>
      </w:r>
      <w:r w:rsidR="00A54E2F" w:rsidRPr="00A54E2F">
        <w:rPr>
          <w:rFonts w:ascii="Times New Roman" w:eastAsiaTheme="minorEastAsia" w:hAnsi="Times New Roman"/>
          <w:sz w:val="21"/>
          <w:szCs w:val="21"/>
          <w:lang w:eastAsia="zh-CN"/>
        </w:rPr>
        <w:fldChar w:fldCharType="begin"/>
      </w:r>
      <w:r w:rsidR="00A54E2F" w:rsidRPr="00C409C8">
        <w:rPr>
          <w:rFonts w:ascii="Times New Roman" w:eastAsiaTheme="minorEastAsia" w:hAnsi="Times New Roman"/>
          <w:sz w:val="21"/>
          <w:szCs w:val="21"/>
          <w:lang w:eastAsia="zh-CN"/>
        </w:rPr>
        <w:instrText xml:space="preserve"> REF _Ref127194589 \h  \* MERGEFORMAT </w:instrText>
      </w:r>
      <w:r w:rsidR="00A54E2F" w:rsidRPr="00A54E2F">
        <w:rPr>
          <w:rFonts w:ascii="Times New Roman" w:eastAsiaTheme="minorEastAsia" w:hAnsi="Times New Roman"/>
          <w:sz w:val="21"/>
          <w:szCs w:val="21"/>
          <w:lang w:eastAsia="zh-CN"/>
        </w:rPr>
      </w:r>
      <w:r w:rsidR="00A54E2F" w:rsidRPr="00A54E2F">
        <w:rPr>
          <w:rFonts w:ascii="Times New Roman" w:eastAsiaTheme="minorEastAsia" w:hAnsi="Times New Roman"/>
          <w:sz w:val="21"/>
          <w:szCs w:val="21"/>
          <w:lang w:eastAsia="zh-CN"/>
        </w:rPr>
        <w:fldChar w:fldCharType="separate"/>
      </w:r>
      <w:r w:rsidR="00A54E2F" w:rsidRPr="00C409C8">
        <w:rPr>
          <w:rFonts w:ascii="Times New Roman" w:hAnsi="Times New Roman"/>
          <w:sz w:val="21"/>
          <w:szCs w:val="21"/>
        </w:rPr>
        <w:t xml:space="preserve">Figure </w:t>
      </w:r>
      <w:r w:rsidR="00A54E2F" w:rsidRPr="00C409C8">
        <w:rPr>
          <w:rFonts w:ascii="Times New Roman" w:hAnsi="Times New Roman"/>
          <w:noProof/>
          <w:sz w:val="21"/>
          <w:szCs w:val="21"/>
        </w:rPr>
        <w:t>1</w:t>
      </w:r>
      <w:r w:rsidR="00A54E2F" w:rsidRPr="00A54E2F">
        <w:rPr>
          <w:rFonts w:ascii="Times New Roman" w:eastAsiaTheme="minorEastAsia" w:hAnsi="Times New Roman"/>
          <w:sz w:val="21"/>
          <w:szCs w:val="21"/>
          <w:lang w:eastAsia="zh-CN"/>
        </w:rPr>
        <w:fldChar w:fldCharType="end"/>
      </w:r>
      <w:r w:rsidR="00A54E2F">
        <w:rPr>
          <w:rFonts w:ascii="Times New Roman" w:eastAsiaTheme="minorEastAsia" w:hAnsi="Times New Roman"/>
          <w:sz w:val="21"/>
          <w:szCs w:val="21"/>
          <w:lang w:eastAsia="zh-CN"/>
        </w:rPr>
        <w:t>.</w:t>
      </w:r>
      <w:r w:rsidR="00A54E2F">
        <w:rPr>
          <w:rFonts w:ascii="Times New Roman" w:eastAsiaTheme="minorEastAsia" w:hAnsi="Times New Roman"/>
          <w:sz w:val="21"/>
          <w:lang w:eastAsia="zh-CN"/>
        </w:rPr>
        <w:t xml:space="preserve"> </w:t>
      </w:r>
      <w:r>
        <w:rPr>
          <w:rFonts w:ascii="Times New Roman" w:eastAsiaTheme="minorEastAsia" w:hAnsi="Times New Roman"/>
          <w:sz w:val="21"/>
          <w:lang w:eastAsia="zh-CN"/>
        </w:rPr>
        <w:t xml:space="preserve"> </w:t>
      </w:r>
    </w:p>
    <w:p w14:paraId="610D7A1C" w14:textId="77777777" w:rsidR="00A54E2F" w:rsidRPr="00E15A2C" w:rsidRDefault="00A54E2F" w:rsidP="00E15A2C">
      <w:pPr>
        <w:pStyle w:val="aff0"/>
        <w:numPr>
          <w:ilvl w:val="0"/>
          <w:numId w:val="43"/>
        </w:numPr>
        <w:ind w:leftChars="0"/>
        <w:rPr>
          <w:rFonts w:ascii="Times New Roman" w:eastAsiaTheme="minorEastAsia" w:hAnsi="Times New Roman"/>
          <w:sz w:val="21"/>
          <w:lang w:eastAsia="zh-CN"/>
        </w:rPr>
      </w:pPr>
      <w:r w:rsidRPr="00E15A2C">
        <w:rPr>
          <w:rFonts w:ascii="Times New Roman" w:eastAsiaTheme="minorEastAsia" w:hAnsi="Times New Roman"/>
          <w:sz w:val="21"/>
          <w:lang w:eastAsia="zh-CN"/>
        </w:rPr>
        <w:t xml:space="preserve">Case a) </w:t>
      </w:r>
      <w:r w:rsidR="00617903" w:rsidRPr="00E15A2C">
        <w:rPr>
          <w:rFonts w:ascii="Times New Roman" w:eastAsiaTheme="minorEastAsia" w:hAnsi="Times New Roman"/>
          <w:sz w:val="21"/>
          <w:lang w:eastAsia="zh-CN"/>
        </w:rPr>
        <w:t xml:space="preserve">For the case two UL transmission start at the same time on the switch-to bands, the switching period equates max {Tswitch_A-C, Tswitch_B-D, Tswitch_A-D, Tswitch_B-C}. </w:t>
      </w:r>
    </w:p>
    <w:p w14:paraId="26BB7319" w14:textId="500601F9" w:rsidR="00A54E2F" w:rsidRPr="00E15A2C" w:rsidRDefault="00A54E2F" w:rsidP="00E15A2C">
      <w:pPr>
        <w:pStyle w:val="aff0"/>
        <w:numPr>
          <w:ilvl w:val="0"/>
          <w:numId w:val="43"/>
        </w:numPr>
        <w:ind w:leftChars="0"/>
        <w:rPr>
          <w:rFonts w:ascii="Times New Roman" w:eastAsiaTheme="minorEastAsia" w:hAnsi="Times New Roman"/>
          <w:sz w:val="21"/>
          <w:lang w:eastAsia="zh-CN"/>
        </w:rPr>
      </w:pPr>
      <w:r w:rsidRPr="00E15A2C">
        <w:rPr>
          <w:rFonts w:ascii="Times New Roman" w:eastAsiaTheme="minorEastAsia" w:hAnsi="Times New Roman"/>
          <w:sz w:val="21"/>
          <w:lang w:eastAsia="zh-CN"/>
        </w:rPr>
        <w:t xml:space="preserve">Case b) </w:t>
      </w:r>
      <w:r w:rsidR="00617903" w:rsidRPr="00E15A2C">
        <w:rPr>
          <w:rFonts w:ascii="Times New Roman" w:eastAsiaTheme="minorEastAsia" w:hAnsi="Times New Roman"/>
          <w:sz w:val="21"/>
          <w:lang w:eastAsia="zh-CN"/>
        </w:rPr>
        <w:t xml:space="preserve">For the case two UL transmission start at different time on the switch-to bands, </w:t>
      </w:r>
      <w:r w:rsidR="007D4A1D" w:rsidRPr="00E15A2C">
        <w:rPr>
          <w:rFonts w:ascii="Times New Roman" w:eastAsiaTheme="minorEastAsia" w:hAnsi="Times New Roman"/>
          <w:sz w:val="21"/>
          <w:lang w:eastAsia="zh-CN"/>
        </w:rPr>
        <w:t xml:space="preserve">the first uplink transmission starts earlier max {Tswitch_A-C, Tswitch_B-D, Tswitch_A-D, Tswitch_B-C} before the second uplink transmission can be regarded to be transmitted on the unchanged Tx chain among 3 bands, which is covered by the issue#1 discussed by RAN4. </w:t>
      </w:r>
    </w:p>
    <w:p w14:paraId="6C500FDA" w14:textId="3E76216A" w:rsidR="006D1030" w:rsidRPr="00E15A2C" w:rsidRDefault="00A54E2F" w:rsidP="00E15A2C">
      <w:pPr>
        <w:pStyle w:val="aff0"/>
        <w:numPr>
          <w:ilvl w:val="0"/>
          <w:numId w:val="43"/>
        </w:numPr>
        <w:ind w:leftChars="0"/>
        <w:rPr>
          <w:rFonts w:ascii="Times New Roman" w:eastAsiaTheme="minorEastAsia" w:hAnsi="Times New Roman"/>
          <w:sz w:val="21"/>
          <w:lang w:eastAsia="zh-CN"/>
        </w:rPr>
      </w:pPr>
      <w:r w:rsidRPr="00E15A2C">
        <w:rPr>
          <w:rFonts w:ascii="Times New Roman" w:eastAsiaTheme="minorEastAsia" w:hAnsi="Times New Roman"/>
          <w:sz w:val="21"/>
          <w:lang w:eastAsia="zh-CN"/>
        </w:rPr>
        <w:t xml:space="preserve">Case c) </w:t>
      </w:r>
      <w:r w:rsidR="007D4A1D" w:rsidRPr="00E15A2C">
        <w:rPr>
          <w:rFonts w:ascii="Times New Roman" w:eastAsiaTheme="minorEastAsia" w:hAnsi="Times New Roman"/>
          <w:sz w:val="21"/>
          <w:lang w:eastAsia="zh-CN"/>
        </w:rPr>
        <w:t>For the case two UL transmission start at different time on the switch-to bands, the first uplink transmission starts within max {Tswitch_A-C, Tswitch_B-D, Tswitch_A-D, Tswitch_B-C} before the second uplink transmission, it is covered by the issue#2 discussed by RAN4, i.e. neither of the two Tx chains is expected to be used for transmission during the maximum of the four switching periods before each uplink transmission.</w:t>
      </w:r>
      <w:r w:rsidRPr="00E15A2C">
        <w:rPr>
          <w:rFonts w:ascii="Times New Roman" w:eastAsiaTheme="minorEastAsia" w:hAnsi="Times New Roman"/>
          <w:sz w:val="21"/>
          <w:lang w:eastAsia="zh-CN"/>
        </w:rPr>
        <w:t xml:space="preserve"> </w:t>
      </w:r>
    </w:p>
    <w:p w14:paraId="1A658921" w14:textId="2F31C949" w:rsidR="00643F9B" w:rsidRDefault="00643F9B" w:rsidP="00643F9B">
      <w:pPr>
        <w:jc w:val="center"/>
      </w:pPr>
    </w:p>
    <w:p w14:paraId="1C87A39A" w14:textId="5BEFDEE7" w:rsidR="00A54E2F" w:rsidRDefault="00A54E2F" w:rsidP="00E15A2C">
      <w:pPr>
        <w:keepNext/>
        <w:jc w:val="center"/>
      </w:pPr>
      <w:r>
        <w:object w:dxaOrig="28276" w:dyaOrig="6181" w14:anchorId="4E2201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104.8pt" o:ole="">
            <v:imagedata r:id="rId9" o:title=""/>
          </v:shape>
          <o:OLEObject Type="Embed" ProgID="Visio.Drawing.15" ShapeID="_x0000_i1025" DrawAspect="Content" ObjectID="_1738149546" r:id="rId10"/>
        </w:object>
      </w:r>
    </w:p>
    <w:p w14:paraId="36F986BB" w14:textId="78ED1DF0" w:rsidR="007D4A1D" w:rsidRDefault="00A54E2F" w:rsidP="00E15A2C">
      <w:pPr>
        <w:pStyle w:val="af5"/>
        <w:jc w:val="center"/>
      </w:pPr>
      <w:bookmarkStart w:id="5" w:name="_Ref127194589"/>
      <w:r>
        <w:t xml:space="preserve">Figure </w:t>
      </w:r>
      <w:r>
        <w:fldChar w:fldCharType="begin"/>
      </w:r>
      <w:r>
        <w:instrText xml:space="preserve"> SEQ Figure \* ARABIC </w:instrText>
      </w:r>
      <w:r>
        <w:fldChar w:fldCharType="separate"/>
      </w:r>
      <w:r>
        <w:rPr>
          <w:noProof/>
        </w:rPr>
        <w:t>1</w:t>
      </w:r>
      <w:r>
        <w:fldChar w:fldCharType="end"/>
      </w:r>
      <w:bookmarkEnd w:id="5"/>
      <w:r>
        <w:t xml:space="preserve"> Switching period determination for different cases across 4 bands</w:t>
      </w:r>
    </w:p>
    <w:p w14:paraId="6D9FFA8D" w14:textId="0DEBEB2D" w:rsidR="00064C6B" w:rsidRDefault="00064C6B" w:rsidP="00064C6B">
      <w:pPr>
        <w:spacing w:beforeLines="50" w:before="120" w:afterLines="50" w:after="120"/>
        <w:ind w:left="0" w:firstLine="0"/>
        <w:jc w:val="both"/>
        <w:rPr>
          <w:rFonts w:ascii="Times New Roman" w:hAnsi="Times New Roman"/>
          <w:bCs/>
        </w:rPr>
      </w:pPr>
      <w:r w:rsidRPr="00791A5A">
        <w:rPr>
          <w:rFonts w:ascii="Times New Roman" w:hAnsi="Times New Roman"/>
          <w:bCs/>
        </w:rPr>
        <w:t xml:space="preserve">Based on the above discussion, we </w:t>
      </w:r>
      <w:r w:rsidR="00A54E2F">
        <w:rPr>
          <w:rFonts w:ascii="Times New Roman" w:hAnsi="Times New Roman"/>
          <w:bCs/>
        </w:rPr>
        <w:t>have</w:t>
      </w:r>
      <w:r w:rsidR="00A54E2F" w:rsidRPr="00791A5A">
        <w:rPr>
          <w:rFonts w:ascii="Times New Roman" w:hAnsi="Times New Roman"/>
          <w:bCs/>
        </w:rPr>
        <w:t xml:space="preserve"> </w:t>
      </w:r>
      <w:r w:rsidRPr="00791A5A">
        <w:rPr>
          <w:rFonts w:ascii="Times New Roman" w:hAnsi="Times New Roman"/>
          <w:bCs/>
        </w:rPr>
        <w:t xml:space="preserve">the following </w:t>
      </w:r>
      <w:r w:rsidR="00A54E2F">
        <w:rPr>
          <w:rFonts w:ascii="Times New Roman" w:hAnsi="Times New Roman"/>
          <w:bCs/>
        </w:rPr>
        <w:t>observation</w:t>
      </w:r>
      <w:r>
        <w:rPr>
          <w:rFonts w:ascii="Times New Roman" w:hAnsi="Times New Roman"/>
          <w:bCs/>
        </w:rPr>
        <w:t>.</w:t>
      </w:r>
    </w:p>
    <w:p w14:paraId="76D8AC2A" w14:textId="2500C9D8" w:rsidR="00A7725D" w:rsidRDefault="00A7725D" w:rsidP="00E15A2C">
      <w:pPr>
        <w:ind w:left="0" w:firstLine="0"/>
        <w:jc w:val="both"/>
        <w:rPr>
          <w:rFonts w:ascii="Times New Roman" w:hAnsi="Times New Roman"/>
          <w:b/>
          <w:bCs/>
          <w:i/>
          <w:sz w:val="21"/>
          <w:szCs w:val="20"/>
          <w:lang w:eastAsia="ja-JP"/>
        </w:rPr>
      </w:pPr>
      <w:r w:rsidRPr="00C409C8">
        <w:rPr>
          <w:rFonts w:ascii="Times New Roman" w:hAnsi="Times New Roman"/>
          <w:b/>
          <w:bCs/>
          <w:i/>
          <w:sz w:val="21"/>
          <w:szCs w:val="20"/>
          <w:lang w:eastAsia="ja-JP"/>
        </w:rPr>
        <w:t>Observation</w:t>
      </w:r>
      <w:r>
        <w:rPr>
          <w:rFonts w:ascii="Times New Roman" w:hAnsi="Times New Roman"/>
          <w:b/>
          <w:bCs/>
          <w:i/>
          <w:sz w:val="21"/>
          <w:szCs w:val="20"/>
          <w:lang w:eastAsia="ja-JP"/>
        </w:rPr>
        <w:t xml:space="preserve"> 1</w:t>
      </w:r>
      <w:r w:rsidRPr="00C409C8">
        <w:rPr>
          <w:rFonts w:ascii="Times New Roman" w:hAnsi="Times New Roman"/>
          <w:b/>
          <w:bCs/>
          <w:i/>
          <w:sz w:val="21"/>
          <w:szCs w:val="20"/>
          <w:lang w:eastAsia="ja-JP"/>
        </w:rPr>
        <w:t>:</w:t>
      </w:r>
      <w:r w:rsidRPr="00C409C8">
        <w:rPr>
          <w:rFonts w:ascii="Times New Roman" w:hAnsi="Times New Roman"/>
          <w:b/>
          <w:bCs/>
          <w:sz w:val="21"/>
          <w:szCs w:val="20"/>
          <w:lang w:eastAsia="ja-JP"/>
        </w:rPr>
        <w:t xml:space="preserve"> </w:t>
      </w:r>
      <w:r>
        <w:rPr>
          <w:rFonts w:ascii="Times New Roman" w:hAnsi="Times New Roman"/>
          <w:b/>
          <w:bCs/>
          <w:i/>
          <w:sz w:val="21"/>
          <w:szCs w:val="20"/>
          <w:lang w:eastAsia="ja-JP"/>
        </w:rPr>
        <w:t>UL Tx switching should be counted based on the times of Tx chain change as the legacy method</w:t>
      </w:r>
      <w:r w:rsidRPr="00C409C8">
        <w:rPr>
          <w:rFonts w:ascii="Times New Roman" w:hAnsi="Times New Roman"/>
          <w:b/>
          <w:bCs/>
          <w:i/>
          <w:sz w:val="21"/>
          <w:szCs w:val="20"/>
          <w:lang w:eastAsia="ja-JP"/>
        </w:rPr>
        <w:t>.</w:t>
      </w:r>
    </w:p>
    <w:p w14:paraId="2D5BF453" w14:textId="59BE7A82" w:rsidR="00064C6B" w:rsidRPr="00E15A2C" w:rsidRDefault="00A54E2F" w:rsidP="00E15A2C">
      <w:pPr>
        <w:spacing w:beforeLines="50" w:before="120"/>
        <w:ind w:left="0" w:firstLine="0"/>
        <w:jc w:val="both"/>
        <w:rPr>
          <w:rFonts w:ascii="Times New Roman" w:hAnsi="Times New Roman"/>
          <w:b/>
          <w:bCs/>
          <w:i/>
          <w:sz w:val="21"/>
          <w:szCs w:val="20"/>
          <w:lang w:eastAsia="ja-JP"/>
        </w:rPr>
      </w:pPr>
      <w:r w:rsidRPr="00E15A2C">
        <w:rPr>
          <w:rFonts w:ascii="Times New Roman" w:hAnsi="Times New Roman"/>
          <w:b/>
          <w:bCs/>
          <w:i/>
          <w:sz w:val="21"/>
          <w:szCs w:val="20"/>
          <w:lang w:eastAsia="ja-JP"/>
        </w:rPr>
        <w:t>Observation</w:t>
      </w:r>
      <w:r w:rsidR="00A7725D">
        <w:rPr>
          <w:rFonts w:ascii="Times New Roman" w:hAnsi="Times New Roman"/>
          <w:b/>
          <w:bCs/>
          <w:i/>
          <w:sz w:val="21"/>
          <w:szCs w:val="20"/>
          <w:lang w:eastAsia="ja-JP"/>
        </w:rPr>
        <w:t xml:space="preserve"> 2</w:t>
      </w:r>
      <w:r w:rsidR="00064C6B" w:rsidRPr="00E15A2C">
        <w:rPr>
          <w:rFonts w:ascii="Times New Roman" w:hAnsi="Times New Roman"/>
          <w:b/>
          <w:bCs/>
          <w:i/>
          <w:sz w:val="21"/>
          <w:szCs w:val="20"/>
          <w:lang w:eastAsia="ja-JP"/>
        </w:rPr>
        <w:t>:</w:t>
      </w:r>
      <w:r w:rsidRPr="00E15A2C">
        <w:rPr>
          <w:rFonts w:ascii="Times New Roman" w:hAnsi="Times New Roman"/>
          <w:b/>
          <w:bCs/>
          <w:sz w:val="21"/>
          <w:szCs w:val="20"/>
          <w:lang w:eastAsia="ja-JP"/>
        </w:rPr>
        <w:t xml:space="preserve"> </w:t>
      </w:r>
      <w:r w:rsidRPr="00E15A2C">
        <w:rPr>
          <w:rFonts w:ascii="Times New Roman" w:hAnsi="Times New Roman"/>
          <w:b/>
          <w:bCs/>
          <w:i/>
          <w:sz w:val="21"/>
          <w:szCs w:val="20"/>
          <w:lang w:eastAsia="ja-JP"/>
        </w:rPr>
        <w:t>There is no ambiguity on switching period for both 3 band UL Tx switching and 4 band UL Tx switching</w:t>
      </w:r>
      <w:r w:rsidR="00064C6B" w:rsidRPr="00E15A2C">
        <w:rPr>
          <w:rFonts w:ascii="Times New Roman" w:hAnsi="Times New Roman"/>
          <w:b/>
          <w:bCs/>
          <w:i/>
          <w:sz w:val="21"/>
          <w:szCs w:val="20"/>
          <w:lang w:eastAsia="ja-JP"/>
        </w:rPr>
        <w:t>.</w:t>
      </w:r>
    </w:p>
    <w:p w14:paraId="32F4E6AC" w14:textId="77777777" w:rsidR="00C46ACD" w:rsidRPr="003B5F4D" w:rsidRDefault="00050DC9" w:rsidP="008570EF">
      <w:pPr>
        <w:pStyle w:val="1"/>
        <w:rPr>
          <w:color w:val="000000"/>
        </w:rPr>
      </w:pPr>
      <w:r w:rsidRPr="00A54E2F">
        <w:rPr>
          <w:color w:val="000000"/>
        </w:rPr>
        <w:t>Conclusion</w:t>
      </w:r>
      <w:r w:rsidR="000B02D5">
        <w:rPr>
          <w:color w:val="000000"/>
        </w:rPr>
        <w:t xml:space="preserve"> </w:t>
      </w:r>
    </w:p>
    <w:p w14:paraId="7A52A20A" w14:textId="7403803E" w:rsidR="009925D6" w:rsidRDefault="005504A3" w:rsidP="002750EC">
      <w:pPr>
        <w:spacing w:beforeLines="50" w:before="120"/>
        <w:ind w:left="0" w:firstLine="0"/>
        <w:rPr>
          <w:rFonts w:ascii="Times New Roman" w:eastAsiaTheme="minorEastAsia" w:hAnsi="Times New Roman"/>
          <w:sz w:val="21"/>
          <w:szCs w:val="21"/>
          <w:lang w:eastAsia="zh-CN"/>
        </w:rPr>
      </w:pPr>
      <w:r w:rsidRPr="00491A15">
        <w:rPr>
          <w:rFonts w:ascii="Times New Roman" w:eastAsiaTheme="minorEastAsia" w:hAnsi="Times New Roman"/>
          <w:sz w:val="21"/>
          <w:szCs w:val="21"/>
          <w:lang w:eastAsia="zh-CN"/>
        </w:rPr>
        <w:t xml:space="preserve">In this contribution, we discuss </w:t>
      </w:r>
      <w:r w:rsidR="00A54E2F">
        <w:rPr>
          <w:rFonts w:ascii="Times New Roman" w:eastAsiaTheme="minorEastAsia" w:hAnsi="Times New Roman"/>
          <w:sz w:val="21"/>
          <w:szCs w:val="21"/>
          <w:lang w:eastAsia="zh-CN"/>
        </w:rPr>
        <w:t xml:space="preserve">remaining </w:t>
      </w:r>
      <w:r w:rsidR="00F27F8D">
        <w:rPr>
          <w:rFonts w:ascii="Times New Roman" w:eastAsiaTheme="minorEastAsia" w:hAnsi="Times New Roman"/>
          <w:sz w:val="21"/>
          <w:szCs w:val="21"/>
          <w:lang w:eastAsia="zh-CN"/>
        </w:rPr>
        <w:t>issues on Rel-18 multi-carrier UL Tx switching</w:t>
      </w:r>
      <w:r w:rsidR="009925D6">
        <w:rPr>
          <w:rFonts w:ascii="Times New Roman" w:eastAsiaTheme="minorEastAsia" w:hAnsi="Times New Roman"/>
          <w:sz w:val="21"/>
          <w:szCs w:val="21"/>
          <w:lang w:eastAsia="zh-CN"/>
        </w:rPr>
        <w:t xml:space="preserve">. Regarding the </w:t>
      </w:r>
      <w:r w:rsidR="00A54E2F">
        <w:rPr>
          <w:rFonts w:ascii="Times New Roman" w:eastAsiaTheme="minorEastAsia" w:hAnsi="Times New Roman"/>
          <w:sz w:val="21"/>
          <w:szCs w:val="21"/>
          <w:lang w:eastAsia="zh-CN"/>
        </w:rPr>
        <w:t xml:space="preserve">switching period determination and </w:t>
      </w:r>
      <w:r w:rsidR="00A7725D">
        <w:rPr>
          <w:rFonts w:ascii="Times New Roman" w:eastAsiaTheme="minorEastAsia" w:hAnsi="Times New Roman"/>
          <w:sz w:val="21"/>
          <w:szCs w:val="21"/>
          <w:lang w:eastAsia="zh-CN"/>
        </w:rPr>
        <w:t>ambiguity on switching number, we have the following observation</w:t>
      </w:r>
      <w:r w:rsidR="009925D6">
        <w:rPr>
          <w:rFonts w:ascii="Times New Roman" w:eastAsiaTheme="minorEastAsia" w:hAnsi="Times New Roman"/>
          <w:sz w:val="21"/>
          <w:szCs w:val="21"/>
          <w:lang w:eastAsia="zh-CN"/>
        </w:rPr>
        <w:t>:</w:t>
      </w:r>
    </w:p>
    <w:p w14:paraId="1B4D34DA" w14:textId="422AFCBB" w:rsidR="00A7725D" w:rsidRDefault="00A7725D" w:rsidP="00E15A2C">
      <w:pPr>
        <w:spacing w:beforeLines="50" w:before="120"/>
        <w:ind w:left="0" w:firstLine="0"/>
        <w:jc w:val="both"/>
        <w:rPr>
          <w:rFonts w:ascii="Times New Roman" w:hAnsi="Times New Roman"/>
          <w:b/>
          <w:bCs/>
          <w:i/>
          <w:sz w:val="21"/>
          <w:szCs w:val="20"/>
          <w:lang w:eastAsia="ja-JP"/>
        </w:rPr>
      </w:pPr>
      <w:r w:rsidRPr="00C409C8">
        <w:rPr>
          <w:rFonts w:ascii="Times New Roman" w:hAnsi="Times New Roman"/>
          <w:b/>
          <w:bCs/>
          <w:i/>
          <w:sz w:val="21"/>
          <w:szCs w:val="20"/>
          <w:lang w:eastAsia="ja-JP"/>
        </w:rPr>
        <w:lastRenderedPageBreak/>
        <w:t>Observation</w:t>
      </w:r>
      <w:r>
        <w:rPr>
          <w:rFonts w:ascii="Times New Roman" w:hAnsi="Times New Roman"/>
          <w:b/>
          <w:bCs/>
          <w:i/>
          <w:sz w:val="21"/>
          <w:szCs w:val="20"/>
          <w:lang w:eastAsia="ja-JP"/>
        </w:rPr>
        <w:t xml:space="preserve"> 1</w:t>
      </w:r>
      <w:r w:rsidRPr="00C409C8">
        <w:rPr>
          <w:rFonts w:ascii="Times New Roman" w:hAnsi="Times New Roman"/>
          <w:b/>
          <w:bCs/>
          <w:i/>
          <w:sz w:val="21"/>
          <w:szCs w:val="20"/>
          <w:lang w:eastAsia="ja-JP"/>
        </w:rPr>
        <w:t>:</w:t>
      </w:r>
      <w:r w:rsidRPr="00C409C8">
        <w:rPr>
          <w:rFonts w:ascii="Times New Roman" w:hAnsi="Times New Roman"/>
          <w:b/>
          <w:bCs/>
          <w:sz w:val="21"/>
          <w:szCs w:val="20"/>
          <w:lang w:eastAsia="ja-JP"/>
        </w:rPr>
        <w:t xml:space="preserve"> </w:t>
      </w:r>
      <w:r>
        <w:rPr>
          <w:rFonts w:ascii="Times New Roman" w:hAnsi="Times New Roman"/>
          <w:b/>
          <w:bCs/>
          <w:i/>
          <w:sz w:val="21"/>
          <w:szCs w:val="20"/>
          <w:lang w:eastAsia="ja-JP"/>
        </w:rPr>
        <w:t>UL Tx switching should be counted based on the times of Tx chain change as the legacy method</w:t>
      </w:r>
      <w:r w:rsidRPr="00C409C8">
        <w:rPr>
          <w:rFonts w:ascii="Times New Roman" w:hAnsi="Times New Roman"/>
          <w:b/>
          <w:bCs/>
          <w:i/>
          <w:sz w:val="21"/>
          <w:szCs w:val="20"/>
          <w:lang w:eastAsia="ja-JP"/>
        </w:rPr>
        <w:t>.</w:t>
      </w:r>
    </w:p>
    <w:p w14:paraId="7BF15F84" w14:textId="77777777" w:rsidR="00A7725D" w:rsidRPr="00C409C8" w:rsidRDefault="00A7725D" w:rsidP="00E15A2C">
      <w:pPr>
        <w:spacing w:beforeLines="50" w:before="120" w:afterLines="50" w:after="120"/>
        <w:ind w:left="0" w:firstLine="0"/>
        <w:jc w:val="both"/>
        <w:rPr>
          <w:rFonts w:ascii="Times New Roman" w:hAnsi="Times New Roman"/>
          <w:b/>
          <w:bCs/>
          <w:i/>
          <w:sz w:val="21"/>
          <w:szCs w:val="20"/>
          <w:lang w:eastAsia="ja-JP"/>
        </w:rPr>
      </w:pPr>
      <w:r w:rsidRPr="00C409C8">
        <w:rPr>
          <w:rFonts w:ascii="Times New Roman" w:hAnsi="Times New Roman"/>
          <w:b/>
          <w:bCs/>
          <w:i/>
          <w:sz w:val="21"/>
          <w:szCs w:val="20"/>
          <w:lang w:eastAsia="ja-JP"/>
        </w:rPr>
        <w:t>Observation</w:t>
      </w:r>
      <w:r>
        <w:rPr>
          <w:rFonts w:ascii="Times New Roman" w:hAnsi="Times New Roman"/>
          <w:b/>
          <w:bCs/>
          <w:i/>
          <w:sz w:val="21"/>
          <w:szCs w:val="20"/>
          <w:lang w:eastAsia="ja-JP"/>
        </w:rPr>
        <w:t xml:space="preserve"> 2</w:t>
      </w:r>
      <w:r w:rsidRPr="00C409C8">
        <w:rPr>
          <w:rFonts w:ascii="Times New Roman" w:hAnsi="Times New Roman"/>
          <w:b/>
          <w:bCs/>
          <w:i/>
          <w:sz w:val="21"/>
          <w:szCs w:val="20"/>
          <w:lang w:eastAsia="ja-JP"/>
        </w:rPr>
        <w:t>:</w:t>
      </w:r>
      <w:r w:rsidRPr="00C409C8">
        <w:rPr>
          <w:rFonts w:ascii="Times New Roman" w:hAnsi="Times New Roman"/>
          <w:b/>
          <w:bCs/>
          <w:sz w:val="21"/>
          <w:szCs w:val="20"/>
          <w:lang w:eastAsia="ja-JP"/>
        </w:rPr>
        <w:t xml:space="preserve"> </w:t>
      </w:r>
      <w:r w:rsidRPr="00C409C8">
        <w:rPr>
          <w:rFonts w:ascii="Times New Roman" w:hAnsi="Times New Roman"/>
          <w:b/>
          <w:bCs/>
          <w:i/>
          <w:sz w:val="21"/>
          <w:szCs w:val="20"/>
          <w:lang w:eastAsia="ja-JP"/>
        </w:rPr>
        <w:t>There is no ambiguity on switching period for both 3 band UL Tx switching and 4 band UL Tx switching.</w:t>
      </w:r>
    </w:p>
    <w:p w14:paraId="36B421E7" w14:textId="488B45FC" w:rsidR="00A7725D" w:rsidRPr="00E15A2C" w:rsidRDefault="00A7725D" w:rsidP="009925D6">
      <w:pPr>
        <w:ind w:left="0" w:firstLine="0"/>
        <w:rPr>
          <w:rFonts w:ascii="Times New Roman" w:eastAsiaTheme="minorEastAsia" w:hAnsi="Times New Roman"/>
          <w:bCs/>
          <w:sz w:val="21"/>
          <w:szCs w:val="20"/>
          <w:lang w:eastAsia="zh-CN"/>
        </w:rPr>
      </w:pPr>
      <w:r w:rsidRPr="00E15A2C">
        <w:rPr>
          <w:rFonts w:ascii="Times New Roman" w:eastAsiaTheme="minorEastAsia" w:hAnsi="Times New Roman"/>
          <w:bCs/>
          <w:sz w:val="21"/>
          <w:szCs w:val="20"/>
          <w:lang w:eastAsia="zh-CN"/>
        </w:rPr>
        <w:t>Furthermore, we have the following proposals on how to reduce frequency of UL Tx switching and how to determine the location of switching period:</w:t>
      </w:r>
    </w:p>
    <w:p w14:paraId="4A690E8F" w14:textId="77777777" w:rsidR="00A7725D" w:rsidRPr="00C409C8" w:rsidRDefault="00A7725D" w:rsidP="00E15A2C">
      <w:pPr>
        <w:spacing w:beforeLines="50" w:before="120"/>
        <w:ind w:left="0" w:firstLine="0"/>
        <w:rPr>
          <w:rFonts w:ascii="Times New Roman" w:hAnsi="Times New Roman"/>
          <w:b/>
          <w:bCs/>
          <w:i/>
          <w:sz w:val="21"/>
          <w:szCs w:val="20"/>
          <w:lang w:eastAsia="ja-JP"/>
        </w:rPr>
      </w:pPr>
      <w:r w:rsidRPr="00C409C8">
        <w:rPr>
          <w:rFonts w:ascii="Times New Roman" w:hAnsi="Times New Roman"/>
          <w:b/>
          <w:bCs/>
          <w:i/>
          <w:sz w:val="21"/>
          <w:szCs w:val="20"/>
          <w:lang w:eastAsia="ja-JP"/>
        </w:rPr>
        <w:t>Proposal 1: Confirm the following working assumption achieved in RAN1#111 meeting.</w:t>
      </w:r>
    </w:p>
    <w:tbl>
      <w:tblPr>
        <w:tblStyle w:val="af1"/>
        <w:tblW w:w="0" w:type="auto"/>
        <w:tblLook w:val="04A0" w:firstRow="1" w:lastRow="0" w:firstColumn="1" w:lastColumn="0" w:noHBand="0" w:noVBand="1"/>
      </w:tblPr>
      <w:tblGrid>
        <w:gridCol w:w="9631"/>
      </w:tblGrid>
      <w:tr w:rsidR="00A7725D" w14:paraId="1EF0A98B" w14:textId="77777777" w:rsidTr="00C409C8">
        <w:tc>
          <w:tcPr>
            <w:tcW w:w="9631" w:type="dxa"/>
          </w:tcPr>
          <w:p w14:paraId="3B606116" w14:textId="77777777" w:rsidR="00A7725D" w:rsidRPr="00C409C8" w:rsidRDefault="00A7725D" w:rsidP="00C409C8">
            <w:pPr>
              <w:numPr>
                <w:ilvl w:val="0"/>
                <w:numId w:val="39"/>
              </w:numPr>
              <w:jc w:val="both"/>
              <w:rPr>
                <w:rFonts w:ascii="Times New Roman" w:eastAsia="MS Mincho" w:hAnsi="Times New Roman"/>
                <w:sz w:val="21"/>
                <w:szCs w:val="20"/>
                <w:lang w:val="en-AU" w:eastAsia="x-none"/>
              </w:rPr>
            </w:pPr>
            <w:r w:rsidRPr="00C409C8">
              <w:rPr>
                <w:rFonts w:ascii="Times New Roman" w:eastAsia="MS Mincho" w:hAnsi="Times New Roman"/>
                <w:sz w:val="21"/>
                <w:szCs w:val="20"/>
                <w:highlight w:val="darkYellow"/>
                <w:lang w:val="en-AU" w:eastAsia="x-none"/>
              </w:rPr>
              <w:t>(working assumption)</w:t>
            </w:r>
            <w:r w:rsidRPr="00C409C8">
              <w:rPr>
                <w:rFonts w:ascii="Times New Roman" w:eastAsia="MS Mincho" w:hAnsi="Times New Roman"/>
                <w:sz w:val="21"/>
                <w:szCs w:val="20"/>
                <w:lang w:val="en-AU" w:eastAsia="x-none"/>
              </w:rPr>
              <w:t xml:space="preserve"> If two uplink switching are triggered and result in UL transmissions on more than 2 bands within any two consecutive reference slots, then the time duration between the end of </w:t>
            </w:r>
            <w:r w:rsidRPr="00C409C8">
              <w:rPr>
                <w:rFonts w:ascii="Times New Roman" w:hAnsi="Times New Roman"/>
                <w:sz w:val="21"/>
                <w:szCs w:val="20"/>
                <w:lang w:eastAsia="x-none"/>
              </w:rPr>
              <w:t xml:space="preserve">all </w:t>
            </w:r>
            <w:r w:rsidRPr="00C409C8">
              <w:rPr>
                <w:rFonts w:ascii="Times New Roman" w:eastAsia="MS Mincho" w:hAnsi="Times New Roman"/>
                <w:sz w:val="21"/>
                <w:szCs w:val="20"/>
                <w:lang w:val="en-AU" w:eastAsia="x-none"/>
              </w:rPr>
              <w:t>transmission</w:t>
            </w:r>
            <w:r w:rsidRPr="00C409C8">
              <w:rPr>
                <w:rFonts w:ascii="Times New Roman" w:hAnsi="Times New Roman"/>
                <w:sz w:val="21"/>
                <w:szCs w:val="20"/>
                <w:lang w:eastAsia="x-none"/>
              </w:rPr>
              <w:t>(s) prior to the first uplink switching</w:t>
            </w:r>
            <w:r w:rsidRPr="00C409C8">
              <w:rPr>
                <w:rFonts w:ascii="Times New Roman" w:eastAsia="MS Mincho" w:hAnsi="Times New Roman"/>
                <w:sz w:val="21"/>
                <w:szCs w:val="20"/>
                <w:lang w:val="en-AU" w:eastAsia="x-none"/>
              </w:rPr>
              <w:t xml:space="preserve"> and the start of </w:t>
            </w:r>
            <w:r w:rsidRPr="00C409C8">
              <w:rPr>
                <w:rFonts w:ascii="Times New Roman" w:hAnsi="Times New Roman"/>
                <w:sz w:val="21"/>
                <w:szCs w:val="20"/>
                <w:lang w:eastAsia="x-none"/>
              </w:rPr>
              <w:t>all</w:t>
            </w:r>
            <w:r w:rsidRPr="00C409C8">
              <w:rPr>
                <w:rFonts w:ascii="Times New Roman" w:eastAsia="MS Mincho" w:hAnsi="Times New Roman"/>
                <w:sz w:val="21"/>
                <w:szCs w:val="20"/>
                <w:lang w:val="en-AU" w:eastAsia="x-none"/>
              </w:rPr>
              <w:t xml:space="preserve"> transmission</w:t>
            </w:r>
            <w:r w:rsidRPr="00C409C8">
              <w:rPr>
                <w:rFonts w:ascii="Times New Roman" w:hAnsi="Times New Roman"/>
                <w:sz w:val="21"/>
                <w:szCs w:val="20"/>
                <w:lang w:eastAsia="x-none"/>
              </w:rPr>
              <w:t>(s) after the second uplink switching</w:t>
            </w:r>
            <w:r w:rsidRPr="00C409C8">
              <w:rPr>
                <w:rFonts w:ascii="Times New Roman" w:eastAsia="MS Mincho" w:hAnsi="Times New Roman"/>
                <w:sz w:val="21"/>
                <w:szCs w:val="20"/>
                <w:lang w:val="en-AU" w:eastAsia="x-none"/>
              </w:rPr>
              <w:t xml:space="preserve"> within the two reference slots is expected to be not less than a minimum separation time </w:t>
            </w:r>
          </w:p>
          <w:p w14:paraId="7B795A5C" w14:textId="77777777" w:rsidR="00A7725D" w:rsidRPr="00C409C8" w:rsidRDefault="00A7725D" w:rsidP="00C409C8">
            <w:pPr>
              <w:numPr>
                <w:ilvl w:val="1"/>
                <w:numId w:val="39"/>
              </w:numPr>
              <w:tabs>
                <w:tab w:val="left" w:pos="840"/>
              </w:tabs>
              <w:jc w:val="both"/>
              <w:rPr>
                <w:rFonts w:ascii="Times New Roman" w:eastAsia="MS Mincho" w:hAnsi="Times New Roman"/>
                <w:sz w:val="21"/>
                <w:szCs w:val="20"/>
                <w:lang w:val="en-AU" w:eastAsia="x-none"/>
              </w:rPr>
            </w:pPr>
            <w:r w:rsidRPr="00C409C8">
              <w:rPr>
                <w:rFonts w:ascii="Times New Roman" w:eastAsia="MS Mincho" w:hAnsi="Times New Roman"/>
                <w:sz w:val="21"/>
                <w:szCs w:val="20"/>
                <w:lang w:val="en-AU" w:eastAsia="x-none"/>
              </w:rPr>
              <w:t xml:space="preserve">The minimum separation time is a sum of X us and the switching gap required for </w:t>
            </w:r>
            <w:r w:rsidRPr="00C409C8">
              <w:rPr>
                <w:rFonts w:ascii="Times New Roman" w:hAnsi="Times New Roman"/>
                <w:sz w:val="21"/>
                <w:szCs w:val="20"/>
                <w:lang w:eastAsia="x-none"/>
              </w:rPr>
              <w:t>the second uplink switching</w:t>
            </w:r>
            <w:r w:rsidRPr="00C409C8">
              <w:rPr>
                <w:rFonts w:ascii="Times New Roman" w:eastAsia="MS Mincho" w:hAnsi="Times New Roman"/>
                <w:sz w:val="21"/>
                <w:szCs w:val="20"/>
                <w:lang w:val="en-AU" w:eastAsia="x-none"/>
              </w:rPr>
              <w:t>.</w:t>
            </w:r>
          </w:p>
          <w:p w14:paraId="798C85A9" w14:textId="77777777" w:rsidR="00A7725D" w:rsidRPr="00C409C8" w:rsidRDefault="00A7725D" w:rsidP="00C409C8">
            <w:pPr>
              <w:numPr>
                <w:ilvl w:val="1"/>
                <w:numId w:val="39"/>
              </w:numPr>
              <w:tabs>
                <w:tab w:val="left" w:pos="840"/>
              </w:tabs>
              <w:jc w:val="both"/>
              <w:rPr>
                <w:rFonts w:ascii="Times New Roman" w:eastAsia="MS Mincho" w:hAnsi="Times New Roman"/>
                <w:sz w:val="21"/>
                <w:szCs w:val="20"/>
                <w:lang w:val="en-AU" w:eastAsia="x-none"/>
              </w:rPr>
            </w:pPr>
            <w:r w:rsidRPr="00C409C8">
              <w:rPr>
                <w:rFonts w:ascii="Times New Roman" w:eastAsia="MS Mincho" w:hAnsi="Times New Roman"/>
                <w:sz w:val="21"/>
                <w:szCs w:val="20"/>
                <w:lang w:val="en-AU" w:eastAsia="x-none"/>
              </w:rPr>
              <w:t>X us is subject to UE capability with a value set of {0us, 500us}</w:t>
            </w:r>
          </w:p>
        </w:tc>
      </w:tr>
    </w:tbl>
    <w:p w14:paraId="18B4288F" w14:textId="77777777" w:rsidR="00A7725D" w:rsidRPr="00E15A2C" w:rsidRDefault="00A7725D" w:rsidP="00E15A2C">
      <w:pPr>
        <w:overflowPunct w:val="0"/>
        <w:autoSpaceDE w:val="0"/>
        <w:autoSpaceDN w:val="0"/>
        <w:adjustRightInd w:val="0"/>
        <w:spacing w:beforeLines="50" w:before="120" w:afterLines="50" w:after="120"/>
        <w:jc w:val="both"/>
        <w:textAlignment w:val="baseline"/>
        <w:rPr>
          <w:rFonts w:ascii="Times New Roman" w:eastAsia="MS Mincho" w:hAnsi="Times New Roman"/>
          <w:b/>
          <w:i/>
          <w:sz w:val="21"/>
          <w:szCs w:val="20"/>
        </w:rPr>
      </w:pPr>
      <w:r w:rsidRPr="00E15A2C">
        <w:rPr>
          <w:rFonts w:ascii="Times New Roman" w:hAnsi="Times New Roman"/>
          <w:b/>
          <w:bCs/>
          <w:i/>
          <w:sz w:val="21"/>
          <w:szCs w:val="20"/>
          <w:lang w:eastAsia="ja-JP"/>
        </w:rPr>
        <w:t xml:space="preserve">Proposal 2: </w:t>
      </w:r>
      <w:r w:rsidRPr="00E15A2C">
        <w:rPr>
          <w:rFonts w:ascii="Times New Roman" w:eastAsia="MS Mincho" w:hAnsi="Times New Roman"/>
          <w:b/>
          <w:i/>
          <w:sz w:val="21"/>
          <w:szCs w:val="20"/>
        </w:rPr>
        <w:t>Switching period location should be configured per band pair</w:t>
      </w:r>
    </w:p>
    <w:p w14:paraId="5284C778" w14:textId="77777777" w:rsidR="00A7725D" w:rsidRPr="00E15A2C" w:rsidRDefault="00A7725D" w:rsidP="00A7725D">
      <w:pPr>
        <w:pStyle w:val="aff0"/>
        <w:numPr>
          <w:ilvl w:val="1"/>
          <w:numId w:val="41"/>
        </w:numPr>
        <w:overflowPunct w:val="0"/>
        <w:autoSpaceDE w:val="0"/>
        <w:autoSpaceDN w:val="0"/>
        <w:adjustRightInd w:val="0"/>
        <w:spacing w:afterLines="50" w:after="120"/>
        <w:ind w:leftChars="0"/>
        <w:jc w:val="both"/>
        <w:textAlignment w:val="baseline"/>
        <w:rPr>
          <w:rFonts w:ascii="Times New Roman" w:eastAsia="MS Mincho" w:hAnsi="Times New Roman"/>
          <w:b/>
          <w:i/>
          <w:sz w:val="21"/>
          <w:szCs w:val="20"/>
        </w:rPr>
      </w:pPr>
      <w:r w:rsidRPr="00E15A2C">
        <w:rPr>
          <w:rFonts w:ascii="Times New Roman" w:eastAsia="MS Mincho" w:hAnsi="Times New Roman"/>
          <w:b/>
          <w:i/>
          <w:sz w:val="21"/>
          <w:szCs w:val="20"/>
        </w:rPr>
        <w:t>If there are multiple bands configured with switching period location as TRUE in the bands involved in a switching, the switching period location is determined to highest carrier frequency among the bands configured with switching period location as TRUE.</w:t>
      </w:r>
    </w:p>
    <w:p w14:paraId="7D5FFF09" w14:textId="77777777" w:rsidR="00050DC9" w:rsidRPr="00FB39B6" w:rsidRDefault="00050DC9" w:rsidP="00EC5F0C">
      <w:pPr>
        <w:pStyle w:val="1"/>
        <w:rPr>
          <w:rStyle w:val="aff1"/>
          <w:b/>
          <w:color w:val="000000"/>
        </w:rPr>
      </w:pPr>
      <w:r w:rsidRPr="00FB39B6">
        <w:rPr>
          <w:rStyle w:val="aff1"/>
          <w:b/>
          <w:color w:val="000000"/>
        </w:rPr>
        <w:t>Reference</w:t>
      </w:r>
    </w:p>
    <w:p w14:paraId="11D67703" w14:textId="7E985199" w:rsidR="008130FD" w:rsidRDefault="009D0DF9" w:rsidP="009D0DF9">
      <w:pPr>
        <w:pStyle w:val="a4"/>
        <w:numPr>
          <w:ilvl w:val="1"/>
          <w:numId w:val="12"/>
        </w:numPr>
        <w:tabs>
          <w:tab w:val="left" w:pos="0"/>
        </w:tabs>
        <w:rPr>
          <w:rFonts w:ascii="Times New Roman" w:eastAsiaTheme="minorEastAsia" w:hAnsi="Times New Roman"/>
          <w:sz w:val="21"/>
          <w:szCs w:val="21"/>
          <w:lang w:eastAsia="zh-CN"/>
        </w:rPr>
      </w:pPr>
      <w:bookmarkStart w:id="6" w:name="_Ref127174799"/>
      <w:r>
        <w:rPr>
          <w:rFonts w:ascii="Times New Roman" w:eastAsiaTheme="minorEastAsia" w:hAnsi="Times New Roman"/>
          <w:sz w:val="21"/>
          <w:szCs w:val="21"/>
          <w:lang w:eastAsia="zh-CN"/>
        </w:rPr>
        <w:t xml:space="preserve">3GPP TSG RAN WG1 #111 </w:t>
      </w:r>
      <w:r w:rsidRPr="009D0DF9">
        <w:rPr>
          <w:rFonts w:ascii="Times New Roman" w:eastAsiaTheme="minorEastAsia" w:hAnsi="Times New Roman"/>
          <w:sz w:val="21"/>
          <w:szCs w:val="21"/>
          <w:lang w:eastAsia="zh-CN"/>
        </w:rPr>
        <w:t>RAN1 Chair’s Notes, November 14th – 18th, 2022</w:t>
      </w:r>
      <w:bookmarkEnd w:id="6"/>
    </w:p>
    <w:p w14:paraId="347F53F8" w14:textId="7CA48310" w:rsidR="006D1030" w:rsidRPr="008130FD" w:rsidRDefault="006D1030" w:rsidP="009D0DF9">
      <w:pPr>
        <w:pStyle w:val="a4"/>
        <w:numPr>
          <w:ilvl w:val="1"/>
          <w:numId w:val="12"/>
        </w:numPr>
        <w:tabs>
          <w:tab w:val="left" w:pos="0"/>
        </w:tabs>
        <w:rPr>
          <w:rFonts w:ascii="Times New Roman" w:eastAsiaTheme="minorEastAsia" w:hAnsi="Times New Roman"/>
          <w:sz w:val="21"/>
          <w:szCs w:val="21"/>
          <w:lang w:eastAsia="zh-CN"/>
        </w:rPr>
      </w:pPr>
      <w:bookmarkStart w:id="7" w:name="_Ref127188833"/>
      <w:r w:rsidRPr="006D1030">
        <w:rPr>
          <w:rFonts w:ascii="Times New Roman" w:eastAsiaTheme="minorEastAsia" w:hAnsi="Times New Roman"/>
          <w:sz w:val="21"/>
          <w:szCs w:val="21"/>
          <w:lang w:eastAsia="zh-CN"/>
        </w:rPr>
        <w:t>R1-2300029, LS on Rel-18 UL Tx switching, RAN4</w:t>
      </w:r>
      <w:bookmarkEnd w:id="7"/>
    </w:p>
    <w:p w14:paraId="11836899" w14:textId="4B9C04C4" w:rsidR="00AE4864" w:rsidRDefault="00AE4864" w:rsidP="007C2A77">
      <w:pPr>
        <w:pStyle w:val="a4"/>
        <w:tabs>
          <w:tab w:val="left" w:pos="0"/>
        </w:tabs>
        <w:ind w:left="420" w:firstLine="0"/>
        <w:jc w:val="left"/>
        <w:rPr>
          <w:rFonts w:ascii="Times New Roman" w:eastAsiaTheme="minorEastAsia" w:hAnsi="Times New Roman"/>
          <w:sz w:val="21"/>
          <w:szCs w:val="21"/>
          <w:lang w:eastAsia="zh-CN"/>
        </w:rPr>
      </w:pPr>
    </w:p>
    <w:p w14:paraId="3B6FBF07" w14:textId="77777777" w:rsidR="003417BB" w:rsidRPr="006A4169" w:rsidRDefault="003417BB" w:rsidP="007C0EF5">
      <w:pPr>
        <w:pStyle w:val="a4"/>
        <w:tabs>
          <w:tab w:val="left" w:pos="0"/>
        </w:tabs>
        <w:ind w:left="0" w:firstLine="0"/>
        <w:jc w:val="left"/>
        <w:rPr>
          <w:rFonts w:ascii="Times New Roman" w:eastAsia="等线" w:hAnsi="Times New Roman"/>
          <w:sz w:val="21"/>
          <w:szCs w:val="21"/>
          <w:lang w:eastAsia="zh-CN"/>
        </w:rPr>
      </w:pPr>
    </w:p>
    <w:sectPr w:rsidR="003417BB" w:rsidRPr="006A4169" w:rsidSect="004A1EE3">
      <w:pgSz w:w="11909" w:h="16834" w:code="9"/>
      <w:pgMar w:top="1134" w:right="1134" w:bottom="1134" w:left="1134" w:header="720" w:footer="72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7D240A" w16cid:durableId="26157FE3"/>
  <w16cid:commentId w16cid:paraId="258AE5E1" w16cid:durableId="26158627"/>
  <w16cid:commentId w16cid:paraId="162409BE" w16cid:durableId="26158796"/>
</w16cid:commentsIds>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679F22" w14:textId="77777777" w:rsidR="00F20A9C" w:rsidRDefault="00F20A9C">
      <w:r>
        <w:separator/>
      </w:r>
    </w:p>
  </w:endnote>
  <w:endnote w:type="continuationSeparator" w:id="0">
    <w:p w14:paraId="6CD3CF84" w14:textId="77777777" w:rsidR="00F20A9C" w:rsidRDefault="00F20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HGPGothicE"/>
    <w:panose1 w:val="00000000000000000000"/>
    <w:charset w:val="80"/>
    <w:family w:val="auto"/>
    <w:notTrueType/>
    <w:pitch w:val="default"/>
    <w:sig w:usb0="00000001" w:usb1="08070000" w:usb2="00000010" w:usb3="00000000" w:csb0="0002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BC7666" w14:textId="77777777" w:rsidR="00F20A9C" w:rsidRDefault="00F20A9C">
      <w:r>
        <w:separator/>
      </w:r>
    </w:p>
  </w:footnote>
  <w:footnote w:type="continuationSeparator" w:id="0">
    <w:p w14:paraId="4A2892C5" w14:textId="77777777" w:rsidR="00F20A9C" w:rsidRDefault="00F20A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293952"/>
    <w:multiLevelType w:val="hybridMultilevel"/>
    <w:tmpl w:val="9BEC45DA"/>
    <w:lvl w:ilvl="0" w:tplc="09B01A1A">
      <w:start w:val="1"/>
      <w:numFmt w:val="bullet"/>
      <w:lvlText w:val="•"/>
      <w:lvlJc w:val="left"/>
      <w:pPr>
        <w:tabs>
          <w:tab w:val="num" w:pos="720"/>
        </w:tabs>
        <w:ind w:left="720" w:hanging="360"/>
      </w:pPr>
      <w:rPr>
        <w:rFonts w:ascii="宋体" w:hAnsi="宋体" w:hint="default"/>
      </w:rPr>
    </w:lvl>
    <w:lvl w:ilvl="1" w:tplc="9C108572">
      <w:start w:val="20836"/>
      <w:numFmt w:val="bullet"/>
      <w:lvlText w:val=""/>
      <w:lvlJc w:val="left"/>
      <w:pPr>
        <w:tabs>
          <w:tab w:val="num" w:pos="1440"/>
        </w:tabs>
        <w:ind w:left="1440" w:hanging="360"/>
      </w:pPr>
      <w:rPr>
        <w:rFonts w:ascii="Wingdings" w:hAnsi="Wingdings" w:hint="default"/>
      </w:rPr>
    </w:lvl>
    <w:lvl w:ilvl="2" w:tplc="D28CC478">
      <w:start w:val="20836"/>
      <w:numFmt w:val="bullet"/>
      <w:lvlText w:val=""/>
      <w:lvlJc w:val="left"/>
      <w:pPr>
        <w:tabs>
          <w:tab w:val="num" w:pos="2160"/>
        </w:tabs>
        <w:ind w:left="2160" w:hanging="360"/>
      </w:pPr>
      <w:rPr>
        <w:rFonts w:ascii="Wingdings" w:hAnsi="Wingdings" w:hint="default"/>
      </w:rPr>
    </w:lvl>
    <w:lvl w:ilvl="3" w:tplc="BA20E614">
      <w:start w:val="20836"/>
      <w:numFmt w:val="bullet"/>
      <w:lvlText w:val=""/>
      <w:lvlJc w:val="left"/>
      <w:pPr>
        <w:tabs>
          <w:tab w:val="num" w:pos="2880"/>
        </w:tabs>
        <w:ind w:left="2880" w:hanging="360"/>
      </w:pPr>
      <w:rPr>
        <w:rFonts w:ascii="Wingdings" w:hAnsi="Wingdings" w:hint="default"/>
      </w:rPr>
    </w:lvl>
    <w:lvl w:ilvl="4" w:tplc="4DC030F0" w:tentative="1">
      <w:start w:val="1"/>
      <w:numFmt w:val="bullet"/>
      <w:lvlText w:val="•"/>
      <w:lvlJc w:val="left"/>
      <w:pPr>
        <w:tabs>
          <w:tab w:val="num" w:pos="3600"/>
        </w:tabs>
        <w:ind w:left="3600" w:hanging="360"/>
      </w:pPr>
      <w:rPr>
        <w:rFonts w:ascii="宋体" w:hAnsi="宋体" w:hint="default"/>
      </w:rPr>
    </w:lvl>
    <w:lvl w:ilvl="5" w:tplc="B6BCC63C" w:tentative="1">
      <w:start w:val="1"/>
      <w:numFmt w:val="bullet"/>
      <w:lvlText w:val="•"/>
      <w:lvlJc w:val="left"/>
      <w:pPr>
        <w:tabs>
          <w:tab w:val="num" w:pos="4320"/>
        </w:tabs>
        <w:ind w:left="4320" w:hanging="360"/>
      </w:pPr>
      <w:rPr>
        <w:rFonts w:ascii="宋体" w:hAnsi="宋体" w:hint="default"/>
      </w:rPr>
    </w:lvl>
    <w:lvl w:ilvl="6" w:tplc="9CA4E358" w:tentative="1">
      <w:start w:val="1"/>
      <w:numFmt w:val="bullet"/>
      <w:lvlText w:val="•"/>
      <w:lvlJc w:val="left"/>
      <w:pPr>
        <w:tabs>
          <w:tab w:val="num" w:pos="5040"/>
        </w:tabs>
        <w:ind w:left="5040" w:hanging="360"/>
      </w:pPr>
      <w:rPr>
        <w:rFonts w:ascii="宋体" w:hAnsi="宋体" w:hint="default"/>
      </w:rPr>
    </w:lvl>
    <w:lvl w:ilvl="7" w:tplc="22C40264" w:tentative="1">
      <w:start w:val="1"/>
      <w:numFmt w:val="bullet"/>
      <w:lvlText w:val="•"/>
      <w:lvlJc w:val="left"/>
      <w:pPr>
        <w:tabs>
          <w:tab w:val="num" w:pos="5760"/>
        </w:tabs>
        <w:ind w:left="5760" w:hanging="360"/>
      </w:pPr>
      <w:rPr>
        <w:rFonts w:ascii="宋体" w:hAnsi="宋体" w:hint="default"/>
      </w:rPr>
    </w:lvl>
    <w:lvl w:ilvl="8" w:tplc="FC247F9E" w:tentative="1">
      <w:start w:val="1"/>
      <w:numFmt w:val="bullet"/>
      <w:lvlText w:val="•"/>
      <w:lvlJc w:val="left"/>
      <w:pPr>
        <w:tabs>
          <w:tab w:val="num" w:pos="6480"/>
        </w:tabs>
        <w:ind w:left="6480" w:hanging="360"/>
      </w:pPr>
      <w:rPr>
        <w:rFonts w:ascii="宋体" w:hAnsi="宋体" w:hint="default"/>
      </w:rPr>
    </w:lvl>
  </w:abstractNum>
  <w:abstractNum w:abstractNumId="6" w15:restartNumberingAfterBreak="0">
    <w:nsid w:val="0E895032"/>
    <w:multiLevelType w:val="hybridMultilevel"/>
    <w:tmpl w:val="52E6BE3A"/>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1725DA"/>
    <w:multiLevelType w:val="hybridMultilevel"/>
    <w:tmpl w:val="8F9A91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6410C2"/>
    <w:multiLevelType w:val="hybridMultilevel"/>
    <w:tmpl w:val="33C8DB9A"/>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7E44269"/>
    <w:multiLevelType w:val="hybridMultilevel"/>
    <w:tmpl w:val="E522F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9E11326"/>
    <w:multiLevelType w:val="hybridMultilevel"/>
    <w:tmpl w:val="AEBABC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4D2A6D"/>
    <w:multiLevelType w:val="hybridMultilevel"/>
    <w:tmpl w:val="75F83F94"/>
    <w:lvl w:ilvl="0" w:tplc="08146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722431"/>
    <w:multiLevelType w:val="hybridMultilevel"/>
    <w:tmpl w:val="2F60D2C6"/>
    <w:lvl w:ilvl="0" w:tplc="CB80A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266621"/>
    <w:multiLevelType w:val="hybridMultilevel"/>
    <w:tmpl w:val="BF8047BA"/>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266A9B"/>
    <w:multiLevelType w:val="hybridMultilevel"/>
    <w:tmpl w:val="2E2A7B8A"/>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394689B"/>
    <w:multiLevelType w:val="hybridMultilevel"/>
    <w:tmpl w:val="FB326448"/>
    <w:lvl w:ilvl="0" w:tplc="B1466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540B69"/>
    <w:multiLevelType w:val="hybridMultilevel"/>
    <w:tmpl w:val="88F218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DD6F48"/>
    <w:multiLevelType w:val="hybridMultilevel"/>
    <w:tmpl w:val="BE9048B0"/>
    <w:lvl w:ilvl="0" w:tplc="999C6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D400E9F"/>
    <w:multiLevelType w:val="hybridMultilevel"/>
    <w:tmpl w:val="48BCB6B8"/>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0E0DDF"/>
    <w:multiLevelType w:val="hybridMultilevel"/>
    <w:tmpl w:val="C3A2AF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437957"/>
    <w:multiLevelType w:val="hybridMultilevel"/>
    <w:tmpl w:val="E70C3916"/>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5166AA"/>
    <w:multiLevelType w:val="hybridMultilevel"/>
    <w:tmpl w:val="FBA8EA3A"/>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FF5F2B"/>
    <w:multiLevelType w:val="multilevel"/>
    <w:tmpl w:val="CB36754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i w:val="0"/>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F97F04"/>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0"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6042A2"/>
    <w:multiLevelType w:val="hybridMultilevel"/>
    <w:tmpl w:val="1B1458F4"/>
    <w:lvl w:ilvl="0" w:tplc="0F78E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FF72E9"/>
    <w:multiLevelType w:val="hybridMultilevel"/>
    <w:tmpl w:val="3E62A62C"/>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076370"/>
    <w:multiLevelType w:val="hybridMultilevel"/>
    <w:tmpl w:val="A93AB746"/>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2FE0645"/>
    <w:multiLevelType w:val="hybridMultilevel"/>
    <w:tmpl w:val="6ECA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5875A9"/>
    <w:multiLevelType w:val="hybridMultilevel"/>
    <w:tmpl w:val="494E9F78"/>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2009E5"/>
    <w:multiLevelType w:val="hybridMultilevel"/>
    <w:tmpl w:val="7708F382"/>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4" w15:restartNumberingAfterBreak="0">
    <w:nsid w:val="7E9155A3"/>
    <w:multiLevelType w:val="hybridMultilevel"/>
    <w:tmpl w:val="3612994E"/>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31"/>
  </w:num>
  <w:num w:numId="3">
    <w:abstractNumId w:val="43"/>
  </w:num>
  <w:num w:numId="4">
    <w:abstractNumId w:val="42"/>
  </w:num>
  <w:num w:numId="5">
    <w:abstractNumId w:val="9"/>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40"/>
  </w:num>
  <w:num w:numId="8">
    <w:abstractNumId w:val="26"/>
  </w:num>
  <w:num w:numId="9">
    <w:abstractNumId w:val="15"/>
  </w:num>
  <w:num w:numId="10">
    <w:abstractNumId w:val="30"/>
  </w:num>
  <w:num w:numId="11">
    <w:abstractNumId w:val="17"/>
  </w:num>
  <w:num w:numId="12">
    <w:abstractNumId w:val="1"/>
  </w:num>
  <w:num w:numId="13">
    <w:abstractNumId w:val="21"/>
  </w:num>
  <w:num w:numId="14">
    <w:abstractNumId w:val="44"/>
  </w:num>
  <w:num w:numId="15">
    <w:abstractNumId w:val="5"/>
  </w:num>
  <w:num w:numId="16">
    <w:abstractNumId w:val="25"/>
  </w:num>
  <w:num w:numId="17">
    <w:abstractNumId w:val="38"/>
  </w:num>
  <w:num w:numId="18">
    <w:abstractNumId w:val="41"/>
  </w:num>
  <w:num w:numId="19">
    <w:abstractNumId w:val="33"/>
  </w:num>
  <w:num w:numId="20">
    <w:abstractNumId w:val="27"/>
  </w:num>
  <w:num w:numId="21">
    <w:abstractNumId w:val="36"/>
  </w:num>
  <w:num w:numId="22">
    <w:abstractNumId w:val="14"/>
  </w:num>
  <w:num w:numId="23">
    <w:abstractNumId w:val="12"/>
  </w:num>
  <w:num w:numId="24">
    <w:abstractNumId w:val="16"/>
  </w:num>
  <w:num w:numId="25">
    <w:abstractNumId w:val="37"/>
  </w:num>
  <w:num w:numId="26">
    <w:abstractNumId w:val="6"/>
  </w:num>
  <w:num w:numId="27">
    <w:abstractNumId w:val="18"/>
  </w:num>
  <w:num w:numId="28">
    <w:abstractNumId w:val="32"/>
  </w:num>
  <w:num w:numId="29">
    <w:abstractNumId w:val="20"/>
  </w:num>
  <w:num w:numId="30">
    <w:abstractNumId w:val="8"/>
  </w:num>
  <w:num w:numId="31">
    <w:abstractNumId w:val="34"/>
  </w:num>
  <w:num w:numId="32">
    <w:abstractNumId w:val="13"/>
  </w:num>
  <w:num w:numId="33">
    <w:abstractNumId w:val="11"/>
  </w:num>
  <w:num w:numId="34">
    <w:abstractNumId w:val="35"/>
  </w:num>
  <w:num w:numId="35">
    <w:abstractNumId w:val="19"/>
  </w:num>
  <w:num w:numId="36">
    <w:abstractNumId w:val="22"/>
  </w:num>
  <w:num w:numId="37">
    <w:abstractNumId w:val="29"/>
  </w:num>
  <w:num w:numId="38">
    <w:abstractNumId w:val="10"/>
  </w:num>
  <w:num w:numId="39">
    <w:abstractNumId w:val="7"/>
  </w:num>
  <w:num w:numId="40">
    <w:abstractNumId w:val="28"/>
  </w:num>
  <w:num w:numId="41">
    <w:abstractNumId w:val="39"/>
  </w:num>
  <w:num w:numId="42">
    <w:abstractNumId w:val="24"/>
  </w:num>
  <w:num w:numId="43">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F8"/>
    <w:rsid w:val="00000243"/>
    <w:rsid w:val="000003AA"/>
    <w:rsid w:val="00000491"/>
    <w:rsid w:val="00000660"/>
    <w:rsid w:val="0000068A"/>
    <w:rsid w:val="000006B4"/>
    <w:rsid w:val="0000078E"/>
    <w:rsid w:val="00000BCF"/>
    <w:rsid w:val="0000115C"/>
    <w:rsid w:val="000011EC"/>
    <w:rsid w:val="000011F2"/>
    <w:rsid w:val="0000146D"/>
    <w:rsid w:val="00001E4C"/>
    <w:rsid w:val="00001F3D"/>
    <w:rsid w:val="00002050"/>
    <w:rsid w:val="00002097"/>
    <w:rsid w:val="0000226C"/>
    <w:rsid w:val="00002314"/>
    <w:rsid w:val="00002A43"/>
    <w:rsid w:val="00002ABE"/>
    <w:rsid w:val="00002B43"/>
    <w:rsid w:val="00002BC6"/>
    <w:rsid w:val="00002BE7"/>
    <w:rsid w:val="00002DC6"/>
    <w:rsid w:val="00002F51"/>
    <w:rsid w:val="00003040"/>
    <w:rsid w:val="0000309D"/>
    <w:rsid w:val="00003110"/>
    <w:rsid w:val="000036CF"/>
    <w:rsid w:val="000039AB"/>
    <w:rsid w:val="00003B58"/>
    <w:rsid w:val="00003F92"/>
    <w:rsid w:val="00004056"/>
    <w:rsid w:val="00004154"/>
    <w:rsid w:val="000045CF"/>
    <w:rsid w:val="00004897"/>
    <w:rsid w:val="0000498E"/>
    <w:rsid w:val="000049DB"/>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C2D"/>
    <w:rsid w:val="00012FCF"/>
    <w:rsid w:val="000130B7"/>
    <w:rsid w:val="00013355"/>
    <w:rsid w:val="000134FE"/>
    <w:rsid w:val="000135CB"/>
    <w:rsid w:val="000135DA"/>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5E24"/>
    <w:rsid w:val="00016153"/>
    <w:rsid w:val="0001621B"/>
    <w:rsid w:val="0001645E"/>
    <w:rsid w:val="00016474"/>
    <w:rsid w:val="00016BBA"/>
    <w:rsid w:val="00016BF1"/>
    <w:rsid w:val="00016D2D"/>
    <w:rsid w:val="00016E19"/>
    <w:rsid w:val="00017099"/>
    <w:rsid w:val="000172F1"/>
    <w:rsid w:val="0001774C"/>
    <w:rsid w:val="000177F1"/>
    <w:rsid w:val="00017AFA"/>
    <w:rsid w:val="00017C43"/>
    <w:rsid w:val="00017D73"/>
    <w:rsid w:val="00017DC3"/>
    <w:rsid w:val="00017E60"/>
    <w:rsid w:val="00020852"/>
    <w:rsid w:val="00020974"/>
    <w:rsid w:val="0002097D"/>
    <w:rsid w:val="00020B2C"/>
    <w:rsid w:val="00021350"/>
    <w:rsid w:val="00021677"/>
    <w:rsid w:val="000216B7"/>
    <w:rsid w:val="0002178F"/>
    <w:rsid w:val="000218B3"/>
    <w:rsid w:val="00021920"/>
    <w:rsid w:val="00021A52"/>
    <w:rsid w:val="00022000"/>
    <w:rsid w:val="000220B1"/>
    <w:rsid w:val="00022315"/>
    <w:rsid w:val="00022819"/>
    <w:rsid w:val="000228E9"/>
    <w:rsid w:val="000228EB"/>
    <w:rsid w:val="00022B32"/>
    <w:rsid w:val="00022BE8"/>
    <w:rsid w:val="00022E7F"/>
    <w:rsid w:val="0002338E"/>
    <w:rsid w:val="00023E0A"/>
    <w:rsid w:val="0002427D"/>
    <w:rsid w:val="000244A3"/>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561"/>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34D7"/>
    <w:rsid w:val="000338A6"/>
    <w:rsid w:val="00033A20"/>
    <w:rsid w:val="00033CCE"/>
    <w:rsid w:val="00033CE1"/>
    <w:rsid w:val="0003416E"/>
    <w:rsid w:val="000345AB"/>
    <w:rsid w:val="000346F3"/>
    <w:rsid w:val="0003486E"/>
    <w:rsid w:val="00034A71"/>
    <w:rsid w:val="0003534A"/>
    <w:rsid w:val="0003547D"/>
    <w:rsid w:val="0003553E"/>
    <w:rsid w:val="00035916"/>
    <w:rsid w:val="00035A35"/>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8EC"/>
    <w:rsid w:val="0004194E"/>
    <w:rsid w:val="00041E7D"/>
    <w:rsid w:val="00041E99"/>
    <w:rsid w:val="000420C0"/>
    <w:rsid w:val="0004244A"/>
    <w:rsid w:val="000424FC"/>
    <w:rsid w:val="00042567"/>
    <w:rsid w:val="00042ECA"/>
    <w:rsid w:val="00043003"/>
    <w:rsid w:val="000433FA"/>
    <w:rsid w:val="00043578"/>
    <w:rsid w:val="000436EC"/>
    <w:rsid w:val="00043A5E"/>
    <w:rsid w:val="00043AF9"/>
    <w:rsid w:val="000445C5"/>
    <w:rsid w:val="000447FD"/>
    <w:rsid w:val="000449D0"/>
    <w:rsid w:val="000449FE"/>
    <w:rsid w:val="000458C4"/>
    <w:rsid w:val="000459C0"/>
    <w:rsid w:val="00045F9D"/>
    <w:rsid w:val="000461F3"/>
    <w:rsid w:val="000462FA"/>
    <w:rsid w:val="0004642B"/>
    <w:rsid w:val="00046657"/>
    <w:rsid w:val="00046741"/>
    <w:rsid w:val="00046A46"/>
    <w:rsid w:val="00046A72"/>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72"/>
    <w:rsid w:val="00054F1F"/>
    <w:rsid w:val="00055343"/>
    <w:rsid w:val="00055414"/>
    <w:rsid w:val="000555B9"/>
    <w:rsid w:val="000555C8"/>
    <w:rsid w:val="00055715"/>
    <w:rsid w:val="0005576B"/>
    <w:rsid w:val="00055AF0"/>
    <w:rsid w:val="00055B7D"/>
    <w:rsid w:val="00055E65"/>
    <w:rsid w:val="000562A6"/>
    <w:rsid w:val="00056B6B"/>
    <w:rsid w:val="00056B77"/>
    <w:rsid w:val="00056DF3"/>
    <w:rsid w:val="0005720C"/>
    <w:rsid w:val="000575D7"/>
    <w:rsid w:val="00057764"/>
    <w:rsid w:val="000577F0"/>
    <w:rsid w:val="00057D72"/>
    <w:rsid w:val="00057FAA"/>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A72"/>
    <w:rsid w:val="00064C6B"/>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37"/>
    <w:rsid w:val="0006737B"/>
    <w:rsid w:val="0006755A"/>
    <w:rsid w:val="00067A6B"/>
    <w:rsid w:val="00067EE6"/>
    <w:rsid w:val="00067FC0"/>
    <w:rsid w:val="0007012F"/>
    <w:rsid w:val="000702F8"/>
    <w:rsid w:val="00070A13"/>
    <w:rsid w:val="00071161"/>
    <w:rsid w:val="00071477"/>
    <w:rsid w:val="00071694"/>
    <w:rsid w:val="00071701"/>
    <w:rsid w:val="0007191C"/>
    <w:rsid w:val="00071A44"/>
    <w:rsid w:val="00071B07"/>
    <w:rsid w:val="00071DD1"/>
    <w:rsid w:val="00071E14"/>
    <w:rsid w:val="00071E15"/>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14E"/>
    <w:rsid w:val="000807D3"/>
    <w:rsid w:val="0008092E"/>
    <w:rsid w:val="000809C1"/>
    <w:rsid w:val="00080A20"/>
    <w:rsid w:val="00080CF9"/>
    <w:rsid w:val="0008112A"/>
    <w:rsid w:val="000811BD"/>
    <w:rsid w:val="000811D9"/>
    <w:rsid w:val="0008131B"/>
    <w:rsid w:val="00081472"/>
    <w:rsid w:val="00081600"/>
    <w:rsid w:val="000817DA"/>
    <w:rsid w:val="000819BC"/>
    <w:rsid w:val="00081A03"/>
    <w:rsid w:val="00081A4B"/>
    <w:rsid w:val="00081BC0"/>
    <w:rsid w:val="00081BC5"/>
    <w:rsid w:val="00081D2A"/>
    <w:rsid w:val="00081DA2"/>
    <w:rsid w:val="00081FB2"/>
    <w:rsid w:val="0008204F"/>
    <w:rsid w:val="00082362"/>
    <w:rsid w:val="000829CA"/>
    <w:rsid w:val="00082E80"/>
    <w:rsid w:val="00083197"/>
    <w:rsid w:val="000833BD"/>
    <w:rsid w:val="0008341E"/>
    <w:rsid w:val="00083496"/>
    <w:rsid w:val="0008378C"/>
    <w:rsid w:val="00083851"/>
    <w:rsid w:val="000839F4"/>
    <w:rsid w:val="00083D47"/>
    <w:rsid w:val="00083DFE"/>
    <w:rsid w:val="00084053"/>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7E7"/>
    <w:rsid w:val="0008781E"/>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9B6"/>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765"/>
    <w:rsid w:val="000979A4"/>
    <w:rsid w:val="00097EA5"/>
    <w:rsid w:val="000A057C"/>
    <w:rsid w:val="000A09D4"/>
    <w:rsid w:val="000A0B8C"/>
    <w:rsid w:val="000A12FE"/>
    <w:rsid w:val="000A1458"/>
    <w:rsid w:val="000A1567"/>
    <w:rsid w:val="000A16EC"/>
    <w:rsid w:val="000A1862"/>
    <w:rsid w:val="000A18EF"/>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2E4"/>
    <w:rsid w:val="000A4331"/>
    <w:rsid w:val="000A4402"/>
    <w:rsid w:val="000A49FD"/>
    <w:rsid w:val="000A4A3F"/>
    <w:rsid w:val="000A4B10"/>
    <w:rsid w:val="000A4CA3"/>
    <w:rsid w:val="000A4F6A"/>
    <w:rsid w:val="000A515A"/>
    <w:rsid w:val="000A560F"/>
    <w:rsid w:val="000A57E1"/>
    <w:rsid w:val="000A595D"/>
    <w:rsid w:val="000A59A1"/>
    <w:rsid w:val="000A5A5C"/>
    <w:rsid w:val="000A5E4D"/>
    <w:rsid w:val="000A5F98"/>
    <w:rsid w:val="000A6307"/>
    <w:rsid w:val="000A6321"/>
    <w:rsid w:val="000A64FE"/>
    <w:rsid w:val="000A661E"/>
    <w:rsid w:val="000A679A"/>
    <w:rsid w:val="000A6ABA"/>
    <w:rsid w:val="000A6B78"/>
    <w:rsid w:val="000A7109"/>
    <w:rsid w:val="000A7253"/>
    <w:rsid w:val="000A731B"/>
    <w:rsid w:val="000A73FF"/>
    <w:rsid w:val="000A7754"/>
    <w:rsid w:val="000A7F43"/>
    <w:rsid w:val="000B02D5"/>
    <w:rsid w:val="000B033E"/>
    <w:rsid w:val="000B0436"/>
    <w:rsid w:val="000B0815"/>
    <w:rsid w:val="000B0E9E"/>
    <w:rsid w:val="000B1449"/>
    <w:rsid w:val="000B16E6"/>
    <w:rsid w:val="000B1947"/>
    <w:rsid w:val="000B19AE"/>
    <w:rsid w:val="000B1B64"/>
    <w:rsid w:val="000B22ED"/>
    <w:rsid w:val="000B249C"/>
    <w:rsid w:val="000B269D"/>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B0E"/>
    <w:rsid w:val="000B4B1F"/>
    <w:rsid w:val="000B4B9E"/>
    <w:rsid w:val="000B4BF7"/>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7C8"/>
    <w:rsid w:val="000B7EBB"/>
    <w:rsid w:val="000B7EEE"/>
    <w:rsid w:val="000B7EF8"/>
    <w:rsid w:val="000B7F91"/>
    <w:rsid w:val="000C0251"/>
    <w:rsid w:val="000C0407"/>
    <w:rsid w:val="000C04C8"/>
    <w:rsid w:val="000C050B"/>
    <w:rsid w:val="000C0696"/>
    <w:rsid w:val="000C09F5"/>
    <w:rsid w:val="000C0A62"/>
    <w:rsid w:val="000C0D06"/>
    <w:rsid w:val="000C0E88"/>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3DE1"/>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0C1"/>
    <w:rsid w:val="000C63FC"/>
    <w:rsid w:val="000C6959"/>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462"/>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558"/>
    <w:rsid w:val="000D656E"/>
    <w:rsid w:val="000D6613"/>
    <w:rsid w:val="000D672A"/>
    <w:rsid w:val="000D6AA3"/>
    <w:rsid w:val="000D7232"/>
    <w:rsid w:val="000D730D"/>
    <w:rsid w:val="000D76DB"/>
    <w:rsid w:val="000D789A"/>
    <w:rsid w:val="000D78D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9F8"/>
    <w:rsid w:val="000E1DF4"/>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701"/>
    <w:rsid w:val="000F0E01"/>
    <w:rsid w:val="000F15F8"/>
    <w:rsid w:val="000F1A8F"/>
    <w:rsid w:val="000F1E21"/>
    <w:rsid w:val="000F231F"/>
    <w:rsid w:val="000F249A"/>
    <w:rsid w:val="000F264C"/>
    <w:rsid w:val="000F26F5"/>
    <w:rsid w:val="000F276E"/>
    <w:rsid w:val="000F2969"/>
    <w:rsid w:val="000F380D"/>
    <w:rsid w:val="000F38FB"/>
    <w:rsid w:val="000F3989"/>
    <w:rsid w:val="000F3C92"/>
    <w:rsid w:val="000F3E9E"/>
    <w:rsid w:val="000F4612"/>
    <w:rsid w:val="000F474A"/>
    <w:rsid w:val="000F47E9"/>
    <w:rsid w:val="000F48F0"/>
    <w:rsid w:val="000F4F4B"/>
    <w:rsid w:val="000F5025"/>
    <w:rsid w:val="000F51D5"/>
    <w:rsid w:val="000F52FD"/>
    <w:rsid w:val="000F5980"/>
    <w:rsid w:val="000F5A92"/>
    <w:rsid w:val="000F5D62"/>
    <w:rsid w:val="000F5E02"/>
    <w:rsid w:val="000F6396"/>
    <w:rsid w:val="000F6A43"/>
    <w:rsid w:val="000F6BCC"/>
    <w:rsid w:val="000F6BF9"/>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881"/>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5F9"/>
    <w:rsid w:val="00107882"/>
    <w:rsid w:val="0010799E"/>
    <w:rsid w:val="0011012A"/>
    <w:rsid w:val="001105A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940"/>
    <w:rsid w:val="00113E2F"/>
    <w:rsid w:val="00113FFF"/>
    <w:rsid w:val="00114311"/>
    <w:rsid w:val="00114418"/>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598"/>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866"/>
    <w:rsid w:val="00126ADE"/>
    <w:rsid w:val="00126BD0"/>
    <w:rsid w:val="001271B6"/>
    <w:rsid w:val="001272DD"/>
    <w:rsid w:val="00127332"/>
    <w:rsid w:val="00127554"/>
    <w:rsid w:val="00127558"/>
    <w:rsid w:val="001278D8"/>
    <w:rsid w:val="00127E2C"/>
    <w:rsid w:val="00127F40"/>
    <w:rsid w:val="0013041B"/>
    <w:rsid w:val="00130550"/>
    <w:rsid w:val="001305F2"/>
    <w:rsid w:val="00130BC9"/>
    <w:rsid w:val="00130C17"/>
    <w:rsid w:val="00130C25"/>
    <w:rsid w:val="001317CE"/>
    <w:rsid w:val="0013183C"/>
    <w:rsid w:val="001325EE"/>
    <w:rsid w:val="00132881"/>
    <w:rsid w:val="00132991"/>
    <w:rsid w:val="001329A4"/>
    <w:rsid w:val="00132E3E"/>
    <w:rsid w:val="0013303B"/>
    <w:rsid w:val="00133165"/>
    <w:rsid w:val="001333FC"/>
    <w:rsid w:val="00133445"/>
    <w:rsid w:val="00133E2F"/>
    <w:rsid w:val="00134182"/>
    <w:rsid w:val="00134523"/>
    <w:rsid w:val="00134564"/>
    <w:rsid w:val="001347EC"/>
    <w:rsid w:val="0013480A"/>
    <w:rsid w:val="00134F81"/>
    <w:rsid w:val="00135106"/>
    <w:rsid w:val="001353E4"/>
    <w:rsid w:val="0013592E"/>
    <w:rsid w:val="00135F7A"/>
    <w:rsid w:val="00135FF1"/>
    <w:rsid w:val="00136061"/>
    <w:rsid w:val="00136373"/>
    <w:rsid w:val="0013651F"/>
    <w:rsid w:val="00136D45"/>
    <w:rsid w:val="00136DFA"/>
    <w:rsid w:val="00137001"/>
    <w:rsid w:val="001372C4"/>
    <w:rsid w:val="001373AB"/>
    <w:rsid w:val="00137525"/>
    <w:rsid w:val="0013764D"/>
    <w:rsid w:val="00137661"/>
    <w:rsid w:val="001408DD"/>
    <w:rsid w:val="00140A88"/>
    <w:rsid w:val="001411B7"/>
    <w:rsid w:val="001412A5"/>
    <w:rsid w:val="0014165D"/>
    <w:rsid w:val="00141DDD"/>
    <w:rsid w:val="00141EFC"/>
    <w:rsid w:val="00142075"/>
    <w:rsid w:val="001420ED"/>
    <w:rsid w:val="0014271E"/>
    <w:rsid w:val="001427D6"/>
    <w:rsid w:val="00142AE8"/>
    <w:rsid w:val="00142E79"/>
    <w:rsid w:val="00142EB2"/>
    <w:rsid w:val="00142F59"/>
    <w:rsid w:val="00143042"/>
    <w:rsid w:val="00143313"/>
    <w:rsid w:val="00143696"/>
    <w:rsid w:val="001437E2"/>
    <w:rsid w:val="00143B9E"/>
    <w:rsid w:val="001440AA"/>
    <w:rsid w:val="00144741"/>
    <w:rsid w:val="0014489E"/>
    <w:rsid w:val="00144A5C"/>
    <w:rsid w:val="00144C9D"/>
    <w:rsid w:val="0014510E"/>
    <w:rsid w:val="00145180"/>
    <w:rsid w:val="00145408"/>
    <w:rsid w:val="001458CD"/>
    <w:rsid w:val="00145B38"/>
    <w:rsid w:val="00145B61"/>
    <w:rsid w:val="00145C56"/>
    <w:rsid w:val="00146228"/>
    <w:rsid w:val="00146355"/>
    <w:rsid w:val="0014636A"/>
    <w:rsid w:val="00146960"/>
    <w:rsid w:val="00146AF3"/>
    <w:rsid w:val="001470D5"/>
    <w:rsid w:val="001470F6"/>
    <w:rsid w:val="0014724E"/>
    <w:rsid w:val="00147321"/>
    <w:rsid w:val="0014733A"/>
    <w:rsid w:val="00147540"/>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3FD8"/>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7C9"/>
    <w:rsid w:val="00157AE3"/>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E60"/>
    <w:rsid w:val="001620C3"/>
    <w:rsid w:val="001621B1"/>
    <w:rsid w:val="00162353"/>
    <w:rsid w:val="00162354"/>
    <w:rsid w:val="001624AC"/>
    <w:rsid w:val="00162901"/>
    <w:rsid w:val="00162BFF"/>
    <w:rsid w:val="0016300B"/>
    <w:rsid w:val="001630FD"/>
    <w:rsid w:val="001631C5"/>
    <w:rsid w:val="001632DF"/>
    <w:rsid w:val="001636FA"/>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6F6"/>
    <w:rsid w:val="0017085F"/>
    <w:rsid w:val="00170A70"/>
    <w:rsid w:val="00170BE4"/>
    <w:rsid w:val="00170C31"/>
    <w:rsid w:val="0017121D"/>
    <w:rsid w:val="00171972"/>
    <w:rsid w:val="00171BBE"/>
    <w:rsid w:val="00171E48"/>
    <w:rsid w:val="00171F39"/>
    <w:rsid w:val="001722ED"/>
    <w:rsid w:val="0017276A"/>
    <w:rsid w:val="00172D31"/>
    <w:rsid w:val="00172E93"/>
    <w:rsid w:val="0017311B"/>
    <w:rsid w:val="00173416"/>
    <w:rsid w:val="00173629"/>
    <w:rsid w:val="00173B43"/>
    <w:rsid w:val="00173C16"/>
    <w:rsid w:val="00173D2B"/>
    <w:rsid w:val="00173EA9"/>
    <w:rsid w:val="00173F4F"/>
    <w:rsid w:val="00173F69"/>
    <w:rsid w:val="00174362"/>
    <w:rsid w:val="00174911"/>
    <w:rsid w:val="00174C79"/>
    <w:rsid w:val="00174D16"/>
    <w:rsid w:val="00174E9E"/>
    <w:rsid w:val="00175178"/>
    <w:rsid w:val="001755BF"/>
    <w:rsid w:val="0017599D"/>
    <w:rsid w:val="00175EAC"/>
    <w:rsid w:val="00175EB0"/>
    <w:rsid w:val="001762AC"/>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2EA8"/>
    <w:rsid w:val="001830B5"/>
    <w:rsid w:val="001831CA"/>
    <w:rsid w:val="00183275"/>
    <w:rsid w:val="0018378A"/>
    <w:rsid w:val="00183876"/>
    <w:rsid w:val="00183B47"/>
    <w:rsid w:val="00183C26"/>
    <w:rsid w:val="00183C58"/>
    <w:rsid w:val="00183E53"/>
    <w:rsid w:val="00183E91"/>
    <w:rsid w:val="001841B2"/>
    <w:rsid w:val="00184341"/>
    <w:rsid w:val="001843B8"/>
    <w:rsid w:val="00184B07"/>
    <w:rsid w:val="00184CB3"/>
    <w:rsid w:val="00184EA8"/>
    <w:rsid w:val="00184FC2"/>
    <w:rsid w:val="00185137"/>
    <w:rsid w:val="0018535B"/>
    <w:rsid w:val="0018544E"/>
    <w:rsid w:val="00185D57"/>
    <w:rsid w:val="001864F6"/>
    <w:rsid w:val="00187C27"/>
    <w:rsid w:val="00187E87"/>
    <w:rsid w:val="00190397"/>
    <w:rsid w:val="00190438"/>
    <w:rsid w:val="001905BF"/>
    <w:rsid w:val="001908AF"/>
    <w:rsid w:val="00190A98"/>
    <w:rsid w:val="00190BFB"/>
    <w:rsid w:val="00190C3D"/>
    <w:rsid w:val="00190E63"/>
    <w:rsid w:val="0019107D"/>
    <w:rsid w:val="0019121C"/>
    <w:rsid w:val="0019189D"/>
    <w:rsid w:val="00191A78"/>
    <w:rsid w:val="00191BE7"/>
    <w:rsid w:val="00191E6B"/>
    <w:rsid w:val="00191F14"/>
    <w:rsid w:val="001923D9"/>
    <w:rsid w:val="00192ADD"/>
    <w:rsid w:val="00192B52"/>
    <w:rsid w:val="00193278"/>
    <w:rsid w:val="001936BA"/>
    <w:rsid w:val="0019381A"/>
    <w:rsid w:val="0019386A"/>
    <w:rsid w:val="00193943"/>
    <w:rsid w:val="00193B0C"/>
    <w:rsid w:val="00193D05"/>
    <w:rsid w:val="00193DDD"/>
    <w:rsid w:val="00193DFA"/>
    <w:rsid w:val="001947BA"/>
    <w:rsid w:val="0019503D"/>
    <w:rsid w:val="00195151"/>
    <w:rsid w:val="00195577"/>
    <w:rsid w:val="00195765"/>
    <w:rsid w:val="0019580F"/>
    <w:rsid w:val="0019581C"/>
    <w:rsid w:val="00195931"/>
    <w:rsid w:val="00195B54"/>
    <w:rsid w:val="00195C73"/>
    <w:rsid w:val="00196140"/>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88A"/>
    <w:rsid w:val="001A1A48"/>
    <w:rsid w:val="001A203E"/>
    <w:rsid w:val="001A20DF"/>
    <w:rsid w:val="001A27FA"/>
    <w:rsid w:val="001A2800"/>
    <w:rsid w:val="001A2CFA"/>
    <w:rsid w:val="001A2DA0"/>
    <w:rsid w:val="001A3127"/>
    <w:rsid w:val="001A3642"/>
    <w:rsid w:val="001A389F"/>
    <w:rsid w:val="001A41FA"/>
    <w:rsid w:val="001A4287"/>
    <w:rsid w:val="001A4423"/>
    <w:rsid w:val="001A4679"/>
    <w:rsid w:val="001A4833"/>
    <w:rsid w:val="001A4C16"/>
    <w:rsid w:val="001A4C4A"/>
    <w:rsid w:val="001A4FC9"/>
    <w:rsid w:val="001A50B6"/>
    <w:rsid w:val="001A511C"/>
    <w:rsid w:val="001A514C"/>
    <w:rsid w:val="001A5490"/>
    <w:rsid w:val="001A5695"/>
    <w:rsid w:val="001A5A08"/>
    <w:rsid w:val="001A5A5C"/>
    <w:rsid w:val="001A5B99"/>
    <w:rsid w:val="001A5DC7"/>
    <w:rsid w:val="001A6192"/>
    <w:rsid w:val="001A64FB"/>
    <w:rsid w:val="001A6647"/>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B44"/>
    <w:rsid w:val="001C0E94"/>
    <w:rsid w:val="001C0F3A"/>
    <w:rsid w:val="001C13BB"/>
    <w:rsid w:val="001C157D"/>
    <w:rsid w:val="001C15B7"/>
    <w:rsid w:val="001C17D7"/>
    <w:rsid w:val="001C1A52"/>
    <w:rsid w:val="001C1D5D"/>
    <w:rsid w:val="001C1EBA"/>
    <w:rsid w:val="001C2197"/>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2F3"/>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AB0"/>
    <w:rsid w:val="001D0D45"/>
    <w:rsid w:val="001D0D70"/>
    <w:rsid w:val="001D1091"/>
    <w:rsid w:val="001D1112"/>
    <w:rsid w:val="001D1730"/>
    <w:rsid w:val="001D186D"/>
    <w:rsid w:val="001D1A04"/>
    <w:rsid w:val="001D20A3"/>
    <w:rsid w:val="001D25D9"/>
    <w:rsid w:val="001D26EF"/>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891"/>
    <w:rsid w:val="001D5B34"/>
    <w:rsid w:val="001D5BD8"/>
    <w:rsid w:val="001D6402"/>
    <w:rsid w:val="001D6450"/>
    <w:rsid w:val="001D6498"/>
    <w:rsid w:val="001D65DD"/>
    <w:rsid w:val="001D67F5"/>
    <w:rsid w:val="001D6883"/>
    <w:rsid w:val="001D6891"/>
    <w:rsid w:val="001D69BC"/>
    <w:rsid w:val="001D6B74"/>
    <w:rsid w:val="001D6E42"/>
    <w:rsid w:val="001D6EA3"/>
    <w:rsid w:val="001D7359"/>
    <w:rsid w:val="001D73EB"/>
    <w:rsid w:val="001D74C9"/>
    <w:rsid w:val="001D7782"/>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ABA"/>
    <w:rsid w:val="001E3F86"/>
    <w:rsid w:val="001E41FB"/>
    <w:rsid w:val="001E430A"/>
    <w:rsid w:val="001E4540"/>
    <w:rsid w:val="001E45E2"/>
    <w:rsid w:val="001E4648"/>
    <w:rsid w:val="001E4E17"/>
    <w:rsid w:val="001E53C4"/>
    <w:rsid w:val="001E588A"/>
    <w:rsid w:val="001E5A1A"/>
    <w:rsid w:val="001E60CA"/>
    <w:rsid w:val="001E61DD"/>
    <w:rsid w:val="001E6853"/>
    <w:rsid w:val="001E6B8D"/>
    <w:rsid w:val="001E6DBA"/>
    <w:rsid w:val="001E6FD3"/>
    <w:rsid w:val="001E7022"/>
    <w:rsid w:val="001E7266"/>
    <w:rsid w:val="001E7374"/>
    <w:rsid w:val="001E75F6"/>
    <w:rsid w:val="001E7696"/>
    <w:rsid w:val="001E79ED"/>
    <w:rsid w:val="001E7B52"/>
    <w:rsid w:val="001E7B68"/>
    <w:rsid w:val="001E7C51"/>
    <w:rsid w:val="001E7FFE"/>
    <w:rsid w:val="001F0248"/>
    <w:rsid w:val="001F0438"/>
    <w:rsid w:val="001F06AC"/>
    <w:rsid w:val="001F07CD"/>
    <w:rsid w:val="001F0877"/>
    <w:rsid w:val="001F090C"/>
    <w:rsid w:val="001F0A54"/>
    <w:rsid w:val="001F10E5"/>
    <w:rsid w:val="001F11D9"/>
    <w:rsid w:val="001F11F0"/>
    <w:rsid w:val="001F1268"/>
    <w:rsid w:val="001F12A1"/>
    <w:rsid w:val="001F1509"/>
    <w:rsid w:val="001F1C20"/>
    <w:rsid w:val="001F1E88"/>
    <w:rsid w:val="001F1F9F"/>
    <w:rsid w:val="001F26AA"/>
    <w:rsid w:val="001F2B81"/>
    <w:rsid w:val="001F2C1B"/>
    <w:rsid w:val="001F31F6"/>
    <w:rsid w:val="001F3328"/>
    <w:rsid w:val="001F353B"/>
    <w:rsid w:val="001F37D0"/>
    <w:rsid w:val="001F391A"/>
    <w:rsid w:val="001F39BD"/>
    <w:rsid w:val="001F3B20"/>
    <w:rsid w:val="001F3D85"/>
    <w:rsid w:val="001F3FFE"/>
    <w:rsid w:val="001F44EB"/>
    <w:rsid w:val="001F48A8"/>
    <w:rsid w:val="001F492D"/>
    <w:rsid w:val="001F4D27"/>
    <w:rsid w:val="001F53DA"/>
    <w:rsid w:val="001F5440"/>
    <w:rsid w:val="001F54AA"/>
    <w:rsid w:val="001F54D5"/>
    <w:rsid w:val="001F5684"/>
    <w:rsid w:val="001F589B"/>
    <w:rsid w:val="001F5C10"/>
    <w:rsid w:val="001F6113"/>
    <w:rsid w:val="001F66E0"/>
    <w:rsid w:val="001F68E0"/>
    <w:rsid w:val="001F6A3B"/>
    <w:rsid w:val="001F6C93"/>
    <w:rsid w:val="001F6CA1"/>
    <w:rsid w:val="001F7227"/>
    <w:rsid w:val="001F7243"/>
    <w:rsid w:val="001F7428"/>
    <w:rsid w:val="001F74F3"/>
    <w:rsid w:val="001F7814"/>
    <w:rsid w:val="001F7C9F"/>
    <w:rsid w:val="001F7E1F"/>
    <w:rsid w:val="00200193"/>
    <w:rsid w:val="00200319"/>
    <w:rsid w:val="00200674"/>
    <w:rsid w:val="00200913"/>
    <w:rsid w:val="00200AAC"/>
    <w:rsid w:val="00200ECF"/>
    <w:rsid w:val="00201612"/>
    <w:rsid w:val="00201615"/>
    <w:rsid w:val="0020183D"/>
    <w:rsid w:val="00201840"/>
    <w:rsid w:val="002019AB"/>
    <w:rsid w:val="00201BBA"/>
    <w:rsid w:val="0020222A"/>
    <w:rsid w:val="00202377"/>
    <w:rsid w:val="002023A6"/>
    <w:rsid w:val="00203A51"/>
    <w:rsid w:val="0020401C"/>
    <w:rsid w:val="00204021"/>
    <w:rsid w:val="002045B4"/>
    <w:rsid w:val="0020496E"/>
    <w:rsid w:val="00204C9A"/>
    <w:rsid w:val="002052B3"/>
    <w:rsid w:val="002057E5"/>
    <w:rsid w:val="002059E4"/>
    <w:rsid w:val="00205C21"/>
    <w:rsid w:val="002060A3"/>
    <w:rsid w:val="002068CD"/>
    <w:rsid w:val="00206B57"/>
    <w:rsid w:val="00206DE7"/>
    <w:rsid w:val="00207050"/>
    <w:rsid w:val="00207693"/>
    <w:rsid w:val="002076F7"/>
    <w:rsid w:val="0020778B"/>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EBA"/>
    <w:rsid w:val="00212FD2"/>
    <w:rsid w:val="002134A3"/>
    <w:rsid w:val="002138E0"/>
    <w:rsid w:val="00213BE1"/>
    <w:rsid w:val="00213DCC"/>
    <w:rsid w:val="00213F14"/>
    <w:rsid w:val="0021401D"/>
    <w:rsid w:val="002142B7"/>
    <w:rsid w:val="0021530D"/>
    <w:rsid w:val="002159CC"/>
    <w:rsid w:val="00215C62"/>
    <w:rsid w:val="00216218"/>
    <w:rsid w:val="002162F4"/>
    <w:rsid w:val="0021648A"/>
    <w:rsid w:val="00216560"/>
    <w:rsid w:val="00216C7F"/>
    <w:rsid w:val="00216D7D"/>
    <w:rsid w:val="00216E49"/>
    <w:rsid w:val="00216FC9"/>
    <w:rsid w:val="002170B8"/>
    <w:rsid w:val="00217200"/>
    <w:rsid w:val="002172C5"/>
    <w:rsid w:val="002173BD"/>
    <w:rsid w:val="00217942"/>
    <w:rsid w:val="00217F6D"/>
    <w:rsid w:val="00220150"/>
    <w:rsid w:val="00220157"/>
    <w:rsid w:val="00220303"/>
    <w:rsid w:val="002207BF"/>
    <w:rsid w:val="00220957"/>
    <w:rsid w:val="00220C5C"/>
    <w:rsid w:val="00220CEC"/>
    <w:rsid w:val="00220D60"/>
    <w:rsid w:val="00220E62"/>
    <w:rsid w:val="00220E91"/>
    <w:rsid w:val="002211F1"/>
    <w:rsid w:val="0022180C"/>
    <w:rsid w:val="00221825"/>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3C29"/>
    <w:rsid w:val="00224145"/>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6D52"/>
    <w:rsid w:val="002273F4"/>
    <w:rsid w:val="0022743E"/>
    <w:rsid w:val="00227729"/>
    <w:rsid w:val="00227926"/>
    <w:rsid w:val="00227A6F"/>
    <w:rsid w:val="00227C47"/>
    <w:rsid w:val="00227D62"/>
    <w:rsid w:val="00227F81"/>
    <w:rsid w:val="002300FA"/>
    <w:rsid w:val="0023014B"/>
    <w:rsid w:val="00230521"/>
    <w:rsid w:val="002305B8"/>
    <w:rsid w:val="00230825"/>
    <w:rsid w:val="00230ABE"/>
    <w:rsid w:val="00230CC7"/>
    <w:rsid w:val="0023133F"/>
    <w:rsid w:val="002313F3"/>
    <w:rsid w:val="0023193A"/>
    <w:rsid w:val="002320D8"/>
    <w:rsid w:val="002321F6"/>
    <w:rsid w:val="00232601"/>
    <w:rsid w:val="00232AD8"/>
    <w:rsid w:val="00232B54"/>
    <w:rsid w:val="00232BDE"/>
    <w:rsid w:val="00232EB9"/>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400E0"/>
    <w:rsid w:val="002400EF"/>
    <w:rsid w:val="00240206"/>
    <w:rsid w:val="002402CC"/>
    <w:rsid w:val="00240C7A"/>
    <w:rsid w:val="00240E81"/>
    <w:rsid w:val="00240F87"/>
    <w:rsid w:val="0024128E"/>
    <w:rsid w:val="002414CD"/>
    <w:rsid w:val="0024198E"/>
    <w:rsid w:val="00241A03"/>
    <w:rsid w:val="00241CCF"/>
    <w:rsid w:val="002423C9"/>
    <w:rsid w:val="002424D1"/>
    <w:rsid w:val="00242576"/>
    <w:rsid w:val="002427B8"/>
    <w:rsid w:val="0024283D"/>
    <w:rsid w:val="00242CEE"/>
    <w:rsid w:val="00242D53"/>
    <w:rsid w:val="0024356A"/>
    <w:rsid w:val="0024396F"/>
    <w:rsid w:val="00244135"/>
    <w:rsid w:val="0024421B"/>
    <w:rsid w:val="00244E77"/>
    <w:rsid w:val="00244FFE"/>
    <w:rsid w:val="00245612"/>
    <w:rsid w:val="00245898"/>
    <w:rsid w:val="00245DA2"/>
    <w:rsid w:val="00246523"/>
    <w:rsid w:val="002465A7"/>
    <w:rsid w:val="00246755"/>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33"/>
    <w:rsid w:val="00250D41"/>
    <w:rsid w:val="00250D7E"/>
    <w:rsid w:val="00250E25"/>
    <w:rsid w:val="002511CE"/>
    <w:rsid w:val="00251206"/>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309A"/>
    <w:rsid w:val="0025386A"/>
    <w:rsid w:val="00253874"/>
    <w:rsid w:val="002540A3"/>
    <w:rsid w:val="002542FC"/>
    <w:rsid w:val="002543F6"/>
    <w:rsid w:val="0025461F"/>
    <w:rsid w:val="002546E5"/>
    <w:rsid w:val="002546FC"/>
    <w:rsid w:val="002549EF"/>
    <w:rsid w:val="00254A35"/>
    <w:rsid w:val="00254ABF"/>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40E"/>
    <w:rsid w:val="00260460"/>
    <w:rsid w:val="002604BF"/>
    <w:rsid w:val="002606F0"/>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E60"/>
    <w:rsid w:val="0026404B"/>
    <w:rsid w:val="002640AE"/>
    <w:rsid w:val="002641C6"/>
    <w:rsid w:val="0026456B"/>
    <w:rsid w:val="00264838"/>
    <w:rsid w:val="002655F7"/>
    <w:rsid w:val="002656C8"/>
    <w:rsid w:val="002656F4"/>
    <w:rsid w:val="00265D17"/>
    <w:rsid w:val="00266027"/>
    <w:rsid w:val="00266067"/>
    <w:rsid w:val="0026695E"/>
    <w:rsid w:val="00266B0A"/>
    <w:rsid w:val="00266B52"/>
    <w:rsid w:val="0026720B"/>
    <w:rsid w:val="00267323"/>
    <w:rsid w:val="00267B7D"/>
    <w:rsid w:val="00267E1C"/>
    <w:rsid w:val="00267EA8"/>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AE8"/>
    <w:rsid w:val="002750EC"/>
    <w:rsid w:val="00275146"/>
    <w:rsid w:val="002751FB"/>
    <w:rsid w:val="00275517"/>
    <w:rsid w:val="0027553F"/>
    <w:rsid w:val="00275711"/>
    <w:rsid w:val="002757FA"/>
    <w:rsid w:val="00276344"/>
    <w:rsid w:val="002763C5"/>
    <w:rsid w:val="00276592"/>
    <w:rsid w:val="00276E53"/>
    <w:rsid w:val="0027705A"/>
    <w:rsid w:val="00277C4B"/>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EB0"/>
    <w:rsid w:val="002832BA"/>
    <w:rsid w:val="00283479"/>
    <w:rsid w:val="002836C0"/>
    <w:rsid w:val="0028371C"/>
    <w:rsid w:val="002837AA"/>
    <w:rsid w:val="00283C8F"/>
    <w:rsid w:val="00283E4A"/>
    <w:rsid w:val="002845F6"/>
    <w:rsid w:val="0028495C"/>
    <w:rsid w:val="00284AB4"/>
    <w:rsid w:val="00284AB5"/>
    <w:rsid w:val="00284C11"/>
    <w:rsid w:val="00284F61"/>
    <w:rsid w:val="00284FFD"/>
    <w:rsid w:val="002856CE"/>
    <w:rsid w:val="00285B05"/>
    <w:rsid w:val="00285B59"/>
    <w:rsid w:val="00286290"/>
    <w:rsid w:val="002864AC"/>
    <w:rsid w:val="002868CE"/>
    <w:rsid w:val="002869C2"/>
    <w:rsid w:val="00286A7D"/>
    <w:rsid w:val="00286FB6"/>
    <w:rsid w:val="002871C1"/>
    <w:rsid w:val="002873CF"/>
    <w:rsid w:val="00287569"/>
    <w:rsid w:val="002878DD"/>
    <w:rsid w:val="00287CF9"/>
    <w:rsid w:val="00290255"/>
    <w:rsid w:val="002904C8"/>
    <w:rsid w:val="00290572"/>
    <w:rsid w:val="00291113"/>
    <w:rsid w:val="00291403"/>
    <w:rsid w:val="002916C5"/>
    <w:rsid w:val="002918A6"/>
    <w:rsid w:val="002918C3"/>
    <w:rsid w:val="00291B7C"/>
    <w:rsid w:val="00291BF1"/>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16"/>
    <w:rsid w:val="00293782"/>
    <w:rsid w:val="002937B7"/>
    <w:rsid w:val="0029390E"/>
    <w:rsid w:val="00293BD0"/>
    <w:rsid w:val="00293D8A"/>
    <w:rsid w:val="0029443D"/>
    <w:rsid w:val="0029461E"/>
    <w:rsid w:val="002946A6"/>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A006D"/>
    <w:rsid w:val="002A0338"/>
    <w:rsid w:val="002A0590"/>
    <w:rsid w:val="002A08C5"/>
    <w:rsid w:val="002A0C48"/>
    <w:rsid w:val="002A0C7E"/>
    <w:rsid w:val="002A15A0"/>
    <w:rsid w:val="002A17F3"/>
    <w:rsid w:val="002A1A30"/>
    <w:rsid w:val="002A25A3"/>
    <w:rsid w:val="002A2694"/>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504"/>
    <w:rsid w:val="002A5A79"/>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3FF"/>
    <w:rsid w:val="002B0586"/>
    <w:rsid w:val="002B077D"/>
    <w:rsid w:val="002B0790"/>
    <w:rsid w:val="002B0A94"/>
    <w:rsid w:val="002B0BFC"/>
    <w:rsid w:val="002B1240"/>
    <w:rsid w:val="002B13A3"/>
    <w:rsid w:val="002B1484"/>
    <w:rsid w:val="002B14D5"/>
    <w:rsid w:val="002B15DB"/>
    <w:rsid w:val="002B1950"/>
    <w:rsid w:val="002B1C8A"/>
    <w:rsid w:val="002B1EEC"/>
    <w:rsid w:val="002B1F10"/>
    <w:rsid w:val="002B212C"/>
    <w:rsid w:val="002B2283"/>
    <w:rsid w:val="002B25A6"/>
    <w:rsid w:val="002B2BE7"/>
    <w:rsid w:val="002B2C1C"/>
    <w:rsid w:val="002B2D64"/>
    <w:rsid w:val="002B2EC1"/>
    <w:rsid w:val="002B2F1C"/>
    <w:rsid w:val="002B2F51"/>
    <w:rsid w:val="002B3125"/>
    <w:rsid w:val="002B3898"/>
    <w:rsid w:val="002B393E"/>
    <w:rsid w:val="002B39FA"/>
    <w:rsid w:val="002B3C89"/>
    <w:rsid w:val="002B400E"/>
    <w:rsid w:val="002B4097"/>
    <w:rsid w:val="002B4219"/>
    <w:rsid w:val="002B453A"/>
    <w:rsid w:val="002B4C15"/>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63"/>
    <w:rsid w:val="002C088A"/>
    <w:rsid w:val="002C088D"/>
    <w:rsid w:val="002C0963"/>
    <w:rsid w:val="002C0DEA"/>
    <w:rsid w:val="002C0DF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DF2"/>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D02EA"/>
    <w:rsid w:val="002D036E"/>
    <w:rsid w:val="002D15B5"/>
    <w:rsid w:val="002D18A3"/>
    <w:rsid w:val="002D1935"/>
    <w:rsid w:val="002D1F42"/>
    <w:rsid w:val="002D20C5"/>
    <w:rsid w:val="002D20EA"/>
    <w:rsid w:val="002D2388"/>
    <w:rsid w:val="002D2644"/>
    <w:rsid w:val="002D26B8"/>
    <w:rsid w:val="002D271C"/>
    <w:rsid w:val="002D2D41"/>
    <w:rsid w:val="002D2D8F"/>
    <w:rsid w:val="002D2E4D"/>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3B6"/>
    <w:rsid w:val="002D5526"/>
    <w:rsid w:val="002D574B"/>
    <w:rsid w:val="002D59DA"/>
    <w:rsid w:val="002D5C42"/>
    <w:rsid w:val="002D5E8E"/>
    <w:rsid w:val="002D6843"/>
    <w:rsid w:val="002D68E3"/>
    <w:rsid w:val="002D6D42"/>
    <w:rsid w:val="002D6F57"/>
    <w:rsid w:val="002D6F61"/>
    <w:rsid w:val="002D715D"/>
    <w:rsid w:val="002D7F0E"/>
    <w:rsid w:val="002E01CB"/>
    <w:rsid w:val="002E02A6"/>
    <w:rsid w:val="002E098F"/>
    <w:rsid w:val="002E0A9C"/>
    <w:rsid w:val="002E13BD"/>
    <w:rsid w:val="002E1893"/>
    <w:rsid w:val="002E199A"/>
    <w:rsid w:val="002E1D67"/>
    <w:rsid w:val="002E1F20"/>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5E9"/>
    <w:rsid w:val="002E6601"/>
    <w:rsid w:val="002E6AE5"/>
    <w:rsid w:val="002E6B61"/>
    <w:rsid w:val="002E6BE6"/>
    <w:rsid w:val="002E6FFF"/>
    <w:rsid w:val="002E74D0"/>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9EB"/>
    <w:rsid w:val="002F1AB2"/>
    <w:rsid w:val="002F230D"/>
    <w:rsid w:val="002F2556"/>
    <w:rsid w:val="002F25CA"/>
    <w:rsid w:val="002F265B"/>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B2E"/>
    <w:rsid w:val="002F7DFA"/>
    <w:rsid w:val="00300406"/>
    <w:rsid w:val="003009DD"/>
    <w:rsid w:val="00300A86"/>
    <w:rsid w:val="00300D35"/>
    <w:rsid w:val="00300F24"/>
    <w:rsid w:val="0030118B"/>
    <w:rsid w:val="003017BF"/>
    <w:rsid w:val="00301B2F"/>
    <w:rsid w:val="00301F7A"/>
    <w:rsid w:val="00302659"/>
    <w:rsid w:val="003028A8"/>
    <w:rsid w:val="00302CCD"/>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5C41"/>
    <w:rsid w:val="00305CF3"/>
    <w:rsid w:val="003060DF"/>
    <w:rsid w:val="00306317"/>
    <w:rsid w:val="0030633D"/>
    <w:rsid w:val="0030655E"/>
    <w:rsid w:val="003069F0"/>
    <w:rsid w:val="00306BE9"/>
    <w:rsid w:val="00306BF6"/>
    <w:rsid w:val="00306D79"/>
    <w:rsid w:val="00306E8E"/>
    <w:rsid w:val="00307320"/>
    <w:rsid w:val="0030751A"/>
    <w:rsid w:val="00307C69"/>
    <w:rsid w:val="00307D9A"/>
    <w:rsid w:val="00307E76"/>
    <w:rsid w:val="00310645"/>
    <w:rsid w:val="0031079B"/>
    <w:rsid w:val="00310A3D"/>
    <w:rsid w:val="00310AAF"/>
    <w:rsid w:val="0031102F"/>
    <w:rsid w:val="00311776"/>
    <w:rsid w:val="00311E9F"/>
    <w:rsid w:val="00312040"/>
    <w:rsid w:val="0031217F"/>
    <w:rsid w:val="003121D6"/>
    <w:rsid w:val="003123EB"/>
    <w:rsid w:val="00312761"/>
    <w:rsid w:val="00313137"/>
    <w:rsid w:val="00313454"/>
    <w:rsid w:val="0031444B"/>
    <w:rsid w:val="00314CC0"/>
    <w:rsid w:val="00315811"/>
    <w:rsid w:val="00315CF5"/>
    <w:rsid w:val="00315D1C"/>
    <w:rsid w:val="00315E12"/>
    <w:rsid w:val="00315FF1"/>
    <w:rsid w:val="00316012"/>
    <w:rsid w:val="003163CB"/>
    <w:rsid w:val="00316B03"/>
    <w:rsid w:val="00316E26"/>
    <w:rsid w:val="00316FC3"/>
    <w:rsid w:val="003170AD"/>
    <w:rsid w:val="003171FB"/>
    <w:rsid w:val="0031727F"/>
    <w:rsid w:val="0031752B"/>
    <w:rsid w:val="003177EB"/>
    <w:rsid w:val="00317C86"/>
    <w:rsid w:val="00320220"/>
    <w:rsid w:val="0032039D"/>
    <w:rsid w:val="0032062F"/>
    <w:rsid w:val="003206C2"/>
    <w:rsid w:val="003208C5"/>
    <w:rsid w:val="00320A83"/>
    <w:rsid w:val="003213CF"/>
    <w:rsid w:val="0032193B"/>
    <w:rsid w:val="00321A93"/>
    <w:rsid w:val="00321D72"/>
    <w:rsid w:val="00321DF7"/>
    <w:rsid w:val="00321F69"/>
    <w:rsid w:val="0032203B"/>
    <w:rsid w:val="003221B3"/>
    <w:rsid w:val="0032228A"/>
    <w:rsid w:val="00322564"/>
    <w:rsid w:val="00322852"/>
    <w:rsid w:val="00322984"/>
    <w:rsid w:val="00322D9E"/>
    <w:rsid w:val="0032312C"/>
    <w:rsid w:val="00323550"/>
    <w:rsid w:val="003235C7"/>
    <w:rsid w:val="003239A5"/>
    <w:rsid w:val="003239E9"/>
    <w:rsid w:val="00323BB0"/>
    <w:rsid w:val="00323BF7"/>
    <w:rsid w:val="00323D62"/>
    <w:rsid w:val="00324118"/>
    <w:rsid w:val="00324862"/>
    <w:rsid w:val="00324B3C"/>
    <w:rsid w:val="00324BCE"/>
    <w:rsid w:val="00324C8C"/>
    <w:rsid w:val="00324D0F"/>
    <w:rsid w:val="003250E3"/>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66E"/>
    <w:rsid w:val="00330678"/>
    <w:rsid w:val="0033095F"/>
    <w:rsid w:val="003310AF"/>
    <w:rsid w:val="00331121"/>
    <w:rsid w:val="00331477"/>
    <w:rsid w:val="003314CA"/>
    <w:rsid w:val="003315EC"/>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CF0"/>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688"/>
    <w:rsid w:val="003406C4"/>
    <w:rsid w:val="003406D9"/>
    <w:rsid w:val="00340BB9"/>
    <w:rsid w:val="00341009"/>
    <w:rsid w:val="00341124"/>
    <w:rsid w:val="0034113C"/>
    <w:rsid w:val="0034146E"/>
    <w:rsid w:val="003417BB"/>
    <w:rsid w:val="00341860"/>
    <w:rsid w:val="00341A08"/>
    <w:rsid w:val="00341B93"/>
    <w:rsid w:val="003427A5"/>
    <w:rsid w:val="003427C7"/>
    <w:rsid w:val="00342DE4"/>
    <w:rsid w:val="00342E37"/>
    <w:rsid w:val="003430E2"/>
    <w:rsid w:val="003430F5"/>
    <w:rsid w:val="00343189"/>
    <w:rsid w:val="00343355"/>
    <w:rsid w:val="0034368A"/>
    <w:rsid w:val="00343BCE"/>
    <w:rsid w:val="00343C25"/>
    <w:rsid w:val="00343CD3"/>
    <w:rsid w:val="003442C6"/>
    <w:rsid w:val="00344BD2"/>
    <w:rsid w:val="0034526C"/>
    <w:rsid w:val="00345387"/>
    <w:rsid w:val="00345805"/>
    <w:rsid w:val="00345C4D"/>
    <w:rsid w:val="00345CC5"/>
    <w:rsid w:val="00345F7C"/>
    <w:rsid w:val="00345FB3"/>
    <w:rsid w:val="00346002"/>
    <w:rsid w:val="003460D3"/>
    <w:rsid w:val="00346AC2"/>
    <w:rsid w:val="0034703B"/>
    <w:rsid w:val="00347048"/>
    <w:rsid w:val="003471C0"/>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93F"/>
    <w:rsid w:val="00352A0F"/>
    <w:rsid w:val="00352C75"/>
    <w:rsid w:val="003532A8"/>
    <w:rsid w:val="00353392"/>
    <w:rsid w:val="00353836"/>
    <w:rsid w:val="003539CB"/>
    <w:rsid w:val="00353C7B"/>
    <w:rsid w:val="00353D87"/>
    <w:rsid w:val="00353DFF"/>
    <w:rsid w:val="00353EB3"/>
    <w:rsid w:val="003542C5"/>
    <w:rsid w:val="003545A9"/>
    <w:rsid w:val="0035474C"/>
    <w:rsid w:val="00354752"/>
    <w:rsid w:val="00354934"/>
    <w:rsid w:val="00354A06"/>
    <w:rsid w:val="00354C4A"/>
    <w:rsid w:val="003558F7"/>
    <w:rsid w:val="0035590C"/>
    <w:rsid w:val="003559C6"/>
    <w:rsid w:val="00355A66"/>
    <w:rsid w:val="003560F7"/>
    <w:rsid w:val="0035624A"/>
    <w:rsid w:val="003566A0"/>
    <w:rsid w:val="00356EBC"/>
    <w:rsid w:val="00357357"/>
    <w:rsid w:val="00357720"/>
    <w:rsid w:val="003578F3"/>
    <w:rsid w:val="0035796F"/>
    <w:rsid w:val="00357979"/>
    <w:rsid w:val="0036001A"/>
    <w:rsid w:val="003605AA"/>
    <w:rsid w:val="003606C4"/>
    <w:rsid w:val="003608C0"/>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E20"/>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508"/>
    <w:rsid w:val="0036661F"/>
    <w:rsid w:val="00366895"/>
    <w:rsid w:val="00366FCE"/>
    <w:rsid w:val="003674E8"/>
    <w:rsid w:val="003676C5"/>
    <w:rsid w:val="003678F7"/>
    <w:rsid w:val="003679F6"/>
    <w:rsid w:val="00367BD7"/>
    <w:rsid w:val="00367F44"/>
    <w:rsid w:val="003701CA"/>
    <w:rsid w:val="00370319"/>
    <w:rsid w:val="003707DE"/>
    <w:rsid w:val="003709A8"/>
    <w:rsid w:val="00370FED"/>
    <w:rsid w:val="003710D6"/>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14B"/>
    <w:rsid w:val="003762A3"/>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1E32"/>
    <w:rsid w:val="0038210C"/>
    <w:rsid w:val="0038224E"/>
    <w:rsid w:val="00382422"/>
    <w:rsid w:val="0038260F"/>
    <w:rsid w:val="003826A8"/>
    <w:rsid w:val="003828B2"/>
    <w:rsid w:val="00382A87"/>
    <w:rsid w:val="00382CB0"/>
    <w:rsid w:val="00382DC4"/>
    <w:rsid w:val="003830FF"/>
    <w:rsid w:val="00383558"/>
    <w:rsid w:val="00383898"/>
    <w:rsid w:val="00383C03"/>
    <w:rsid w:val="00383D64"/>
    <w:rsid w:val="00384356"/>
    <w:rsid w:val="003843E7"/>
    <w:rsid w:val="0038474A"/>
    <w:rsid w:val="00384878"/>
    <w:rsid w:val="00384A7D"/>
    <w:rsid w:val="00384B39"/>
    <w:rsid w:val="00384F4B"/>
    <w:rsid w:val="00385340"/>
    <w:rsid w:val="00385772"/>
    <w:rsid w:val="00385D39"/>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DB"/>
    <w:rsid w:val="00391BED"/>
    <w:rsid w:val="00391E2E"/>
    <w:rsid w:val="00392479"/>
    <w:rsid w:val="003924E4"/>
    <w:rsid w:val="00392526"/>
    <w:rsid w:val="003929F1"/>
    <w:rsid w:val="0039327E"/>
    <w:rsid w:val="003932D7"/>
    <w:rsid w:val="00393395"/>
    <w:rsid w:val="003937F1"/>
    <w:rsid w:val="00393C45"/>
    <w:rsid w:val="00393C8A"/>
    <w:rsid w:val="0039400C"/>
    <w:rsid w:val="003942BB"/>
    <w:rsid w:val="003946E8"/>
    <w:rsid w:val="00394852"/>
    <w:rsid w:val="003948EA"/>
    <w:rsid w:val="00394ADF"/>
    <w:rsid w:val="00394BD6"/>
    <w:rsid w:val="00394D76"/>
    <w:rsid w:val="003951FE"/>
    <w:rsid w:val="0039528F"/>
    <w:rsid w:val="00395698"/>
    <w:rsid w:val="00395867"/>
    <w:rsid w:val="003959E3"/>
    <w:rsid w:val="00395AA2"/>
    <w:rsid w:val="00395C03"/>
    <w:rsid w:val="00395C91"/>
    <w:rsid w:val="00395E5D"/>
    <w:rsid w:val="00395F77"/>
    <w:rsid w:val="00396268"/>
    <w:rsid w:val="00396AD1"/>
    <w:rsid w:val="00396D9C"/>
    <w:rsid w:val="00396EFA"/>
    <w:rsid w:val="00397060"/>
    <w:rsid w:val="00397234"/>
    <w:rsid w:val="00397789"/>
    <w:rsid w:val="003978AE"/>
    <w:rsid w:val="00397DE9"/>
    <w:rsid w:val="003A028C"/>
    <w:rsid w:val="003A02F7"/>
    <w:rsid w:val="003A0936"/>
    <w:rsid w:val="003A0A18"/>
    <w:rsid w:val="003A0D4E"/>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783"/>
    <w:rsid w:val="003A37DC"/>
    <w:rsid w:val="003A40BE"/>
    <w:rsid w:val="003A42F0"/>
    <w:rsid w:val="003A498D"/>
    <w:rsid w:val="003A4F28"/>
    <w:rsid w:val="003A52EC"/>
    <w:rsid w:val="003A535C"/>
    <w:rsid w:val="003A5586"/>
    <w:rsid w:val="003A5C48"/>
    <w:rsid w:val="003A5D45"/>
    <w:rsid w:val="003A5D87"/>
    <w:rsid w:val="003A5DBF"/>
    <w:rsid w:val="003A6110"/>
    <w:rsid w:val="003A62D2"/>
    <w:rsid w:val="003A6322"/>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7F9"/>
    <w:rsid w:val="003B1D13"/>
    <w:rsid w:val="003B1DF1"/>
    <w:rsid w:val="003B1E0D"/>
    <w:rsid w:val="003B219F"/>
    <w:rsid w:val="003B22E0"/>
    <w:rsid w:val="003B24D2"/>
    <w:rsid w:val="003B2678"/>
    <w:rsid w:val="003B2B0B"/>
    <w:rsid w:val="003B2D21"/>
    <w:rsid w:val="003B2E20"/>
    <w:rsid w:val="003B30F6"/>
    <w:rsid w:val="003B3250"/>
    <w:rsid w:val="003B326B"/>
    <w:rsid w:val="003B32BC"/>
    <w:rsid w:val="003B34C7"/>
    <w:rsid w:val="003B356E"/>
    <w:rsid w:val="003B36B2"/>
    <w:rsid w:val="003B36C0"/>
    <w:rsid w:val="003B3BAB"/>
    <w:rsid w:val="003B404B"/>
    <w:rsid w:val="003B4177"/>
    <w:rsid w:val="003B4273"/>
    <w:rsid w:val="003B4656"/>
    <w:rsid w:val="003B4795"/>
    <w:rsid w:val="003B4DC1"/>
    <w:rsid w:val="003B4F5B"/>
    <w:rsid w:val="003B516F"/>
    <w:rsid w:val="003B576B"/>
    <w:rsid w:val="003B576C"/>
    <w:rsid w:val="003B5A99"/>
    <w:rsid w:val="003B5D04"/>
    <w:rsid w:val="003B5F4D"/>
    <w:rsid w:val="003B6629"/>
    <w:rsid w:val="003B68AC"/>
    <w:rsid w:val="003B6B93"/>
    <w:rsid w:val="003B6E90"/>
    <w:rsid w:val="003B7041"/>
    <w:rsid w:val="003B7C10"/>
    <w:rsid w:val="003B7EF9"/>
    <w:rsid w:val="003C04C5"/>
    <w:rsid w:val="003C0618"/>
    <w:rsid w:val="003C0758"/>
    <w:rsid w:val="003C0B84"/>
    <w:rsid w:val="003C0BBF"/>
    <w:rsid w:val="003C0E18"/>
    <w:rsid w:val="003C10C9"/>
    <w:rsid w:val="003C1280"/>
    <w:rsid w:val="003C177E"/>
    <w:rsid w:val="003C1834"/>
    <w:rsid w:val="003C1A7E"/>
    <w:rsid w:val="003C1A9A"/>
    <w:rsid w:val="003C1DB7"/>
    <w:rsid w:val="003C1E93"/>
    <w:rsid w:val="003C1FDE"/>
    <w:rsid w:val="003C2127"/>
    <w:rsid w:val="003C2334"/>
    <w:rsid w:val="003C2458"/>
    <w:rsid w:val="003C2641"/>
    <w:rsid w:val="003C29D8"/>
    <w:rsid w:val="003C2A75"/>
    <w:rsid w:val="003C2D5B"/>
    <w:rsid w:val="003C2DF8"/>
    <w:rsid w:val="003C3004"/>
    <w:rsid w:val="003C33A2"/>
    <w:rsid w:val="003C374A"/>
    <w:rsid w:val="003C37CA"/>
    <w:rsid w:val="003C39B8"/>
    <w:rsid w:val="003C3CD2"/>
    <w:rsid w:val="003C4876"/>
    <w:rsid w:val="003C5504"/>
    <w:rsid w:val="003C5523"/>
    <w:rsid w:val="003C55A0"/>
    <w:rsid w:val="003C58A8"/>
    <w:rsid w:val="003C5B78"/>
    <w:rsid w:val="003C5F30"/>
    <w:rsid w:val="003C5FDD"/>
    <w:rsid w:val="003C64FC"/>
    <w:rsid w:val="003C674C"/>
    <w:rsid w:val="003C680D"/>
    <w:rsid w:val="003C69A1"/>
    <w:rsid w:val="003C6A6B"/>
    <w:rsid w:val="003C6EB5"/>
    <w:rsid w:val="003C6F97"/>
    <w:rsid w:val="003C6FC7"/>
    <w:rsid w:val="003C707D"/>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8B0"/>
    <w:rsid w:val="003D2C7B"/>
    <w:rsid w:val="003D2DCE"/>
    <w:rsid w:val="003D2FA9"/>
    <w:rsid w:val="003D3174"/>
    <w:rsid w:val="003D3208"/>
    <w:rsid w:val="003D32F8"/>
    <w:rsid w:val="003D38C0"/>
    <w:rsid w:val="003D3934"/>
    <w:rsid w:val="003D3A39"/>
    <w:rsid w:val="003D3C05"/>
    <w:rsid w:val="003D3CD7"/>
    <w:rsid w:val="003D3F42"/>
    <w:rsid w:val="003D426C"/>
    <w:rsid w:val="003D45CC"/>
    <w:rsid w:val="003D472B"/>
    <w:rsid w:val="003D4E24"/>
    <w:rsid w:val="003D5059"/>
    <w:rsid w:val="003D541E"/>
    <w:rsid w:val="003D60D7"/>
    <w:rsid w:val="003D6512"/>
    <w:rsid w:val="003D74F7"/>
    <w:rsid w:val="003D780D"/>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3440"/>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DA"/>
    <w:rsid w:val="003E5F06"/>
    <w:rsid w:val="003E5F0F"/>
    <w:rsid w:val="003E6497"/>
    <w:rsid w:val="003E64D5"/>
    <w:rsid w:val="003E6533"/>
    <w:rsid w:val="003E6560"/>
    <w:rsid w:val="003E65F2"/>
    <w:rsid w:val="003E66FA"/>
    <w:rsid w:val="003E6722"/>
    <w:rsid w:val="003E6974"/>
    <w:rsid w:val="003E69D0"/>
    <w:rsid w:val="003E6BD9"/>
    <w:rsid w:val="003E6C1B"/>
    <w:rsid w:val="003E6CEA"/>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9EF"/>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BF3"/>
    <w:rsid w:val="003F4D7E"/>
    <w:rsid w:val="003F4F2C"/>
    <w:rsid w:val="003F520A"/>
    <w:rsid w:val="003F553E"/>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47F"/>
    <w:rsid w:val="0040075F"/>
    <w:rsid w:val="004008A3"/>
    <w:rsid w:val="00400D0C"/>
    <w:rsid w:val="00400E42"/>
    <w:rsid w:val="00400E8E"/>
    <w:rsid w:val="004013CF"/>
    <w:rsid w:val="00401781"/>
    <w:rsid w:val="00401A22"/>
    <w:rsid w:val="00401B9C"/>
    <w:rsid w:val="00401EA5"/>
    <w:rsid w:val="00401FEB"/>
    <w:rsid w:val="00402491"/>
    <w:rsid w:val="004024A1"/>
    <w:rsid w:val="00402AF4"/>
    <w:rsid w:val="004031B2"/>
    <w:rsid w:val="0040345F"/>
    <w:rsid w:val="00403660"/>
    <w:rsid w:val="004037A5"/>
    <w:rsid w:val="004038BA"/>
    <w:rsid w:val="00403A12"/>
    <w:rsid w:val="00403A39"/>
    <w:rsid w:val="00403C17"/>
    <w:rsid w:val="00403D29"/>
    <w:rsid w:val="0040405B"/>
    <w:rsid w:val="004040EA"/>
    <w:rsid w:val="0040411C"/>
    <w:rsid w:val="00404329"/>
    <w:rsid w:val="00404BBE"/>
    <w:rsid w:val="00404EC1"/>
    <w:rsid w:val="00404EC5"/>
    <w:rsid w:val="0040518F"/>
    <w:rsid w:val="00405312"/>
    <w:rsid w:val="004056AB"/>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8ED"/>
    <w:rsid w:val="00410FD3"/>
    <w:rsid w:val="004115A8"/>
    <w:rsid w:val="00412161"/>
    <w:rsid w:val="004121DE"/>
    <w:rsid w:val="004122B2"/>
    <w:rsid w:val="0041233F"/>
    <w:rsid w:val="00412A1C"/>
    <w:rsid w:val="00412BB2"/>
    <w:rsid w:val="00412E1F"/>
    <w:rsid w:val="00412FB5"/>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17F8E"/>
    <w:rsid w:val="004200C4"/>
    <w:rsid w:val="00420469"/>
    <w:rsid w:val="00420A59"/>
    <w:rsid w:val="00420EA1"/>
    <w:rsid w:val="00421051"/>
    <w:rsid w:val="00421104"/>
    <w:rsid w:val="004212C7"/>
    <w:rsid w:val="00421990"/>
    <w:rsid w:val="00421F86"/>
    <w:rsid w:val="004222F3"/>
    <w:rsid w:val="00422408"/>
    <w:rsid w:val="00422D74"/>
    <w:rsid w:val="0042308C"/>
    <w:rsid w:val="004238A7"/>
    <w:rsid w:val="0042403A"/>
    <w:rsid w:val="00424BAB"/>
    <w:rsid w:val="00424C05"/>
    <w:rsid w:val="00424DF2"/>
    <w:rsid w:val="0042505F"/>
    <w:rsid w:val="0042600B"/>
    <w:rsid w:val="00426225"/>
    <w:rsid w:val="004264D2"/>
    <w:rsid w:val="0042654E"/>
    <w:rsid w:val="00426CB5"/>
    <w:rsid w:val="00426D20"/>
    <w:rsid w:val="00426EA3"/>
    <w:rsid w:val="004272A0"/>
    <w:rsid w:val="004272C5"/>
    <w:rsid w:val="0042749A"/>
    <w:rsid w:val="00427643"/>
    <w:rsid w:val="004278F5"/>
    <w:rsid w:val="00427E22"/>
    <w:rsid w:val="00427E54"/>
    <w:rsid w:val="00427F89"/>
    <w:rsid w:val="00427FA8"/>
    <w:rsid w:val="004300F0"/>
    <w:rsid w:val="00430557"/>
    <w:rsid w:val="00431194"/>
    <w:rsid w:val="004318E7"/>
    <w:rsid w:val="00431C08"/>
    <w:rsid w:val="00431C9A"/>
    <w:rsid w:val="0043215D"/>
    <w:rsid w:val="004328B1"/>
    <w:rsid w:val="0043291A"/>
    <w:rsid w:val="00432ECB"/>
    <w:rsid w:val="004331A8"/>
    <w:rsid w:val="004331EA"/>
    <w:rsid w:val="0043328F"/>
    <w:rsid w:val="00433767"/>
    <w:rsid w:val="004339BA"/>
    <w:rsid w:val="00433E6F"/>
    <w:rsid w:val="0043404C"/>
    <w:rsid w:val="00434598"/>
    <w:rsid w:val="0043460B"/>
    <w:rsid w:val="004350FA"/>
    <w:rsid w:val="004354C4"/>
    <w:rsid w:val="004357BC"/>
    <w:rsid w:val="004361DF"/>
    <w:rsid w:val="0043647D"/>
    <w:rsid w:val="00436AFC"/>
    <w:rsid w:val="00436B4B"/>
    <w:rsid w:val="00437002"/>
    <w:rsid w:val="00437060"/>
    <w:rsid w:val="00437279"/>
    <w:rsid w:val="0043728C"/>
    <w:rsid w:val="004372BE"/>
    <w:rsid w:val="00437C33"/>
    <w:rsid w:val="00437C55"/>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9A0"/>
    <w:rsid w:val="00441A02"/>
    <w:rsid w:val="00441AA3"/>
    <w:rsid w:val="00441B0E"/>
    <w:rsid w:val="00442437"/>
    <w:rsid w:val="00442CCA"/>
    <w:rsid w:val="0044311E"/>
    <w:rsid w:val="0044355B"/>
    <w:rsid w:val="0044370C"/>
    <w:rsid w:val="004437E9"/>
    <w:rsid w:val="00443877"/>
    <w:rsid w:val="00443E03"/>
    <w:rsid w:val="00443E3F"/>
    <w:rsid w:val="004442B0"/>
    <w:rsid w:val="0044455F"/>
    <w:rsid w:val="00444902"/>
    <w:rsid w:val="004456C6"/>
    <w:rsid w:val="0044589F"/>
    <w:rsid w:val="00445ACC"/>
    <w:rsid w:val="00445B71"/>
    <w:rsid w:val="00445BC1"/>
    <w:rsid w:val="00445BC7"/>
    <w:rsid w:val="00445D2A"/>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406"/>
    <w:rsid w:val="00452720"/>
    <w:rsid w:val="00452A06"/>
    <w:rsid w:val="00452C01"/>
    <w:rsid w:val="00452D32"/>
    <w:rsid w:val="0045309B"/>
    <w:rsid w:val="004532F0"/>
    <w:rsid w:val="00453A37"/>
    <w:rsid w:val="00453AAA"/>
    <w:rsid w:val="00454510"/>
    <w:rsid w:val="00454595"/>
    <w:rsid w:val="00454883"/>
    <w:rsid w:val="00454A73"/>
    <w:rsid w:val="00455057"/>
    <w:rsid w:val="00455468"/>
    <w:rsid w:val="004555F8"/>
    <w:rsid w:val="0045570C"/>
    <w:rsid w:val="00455785"/>
    <w:rsid w:val="00455C20"/>
    <w:rsid w:val="00456103"/>
    <w:rsid w:val="0045649D"/>
    <w:rsid w:val="00456AE2"/>
    <w:rsid w:val="004577EB"/>
    <w:rsid w:val="00457B91"/>
    <w:rsid w:val="00457FB3"/>
    <w:rsid w:val="00460B29"/>
    <w:rsid w:val="004610A2"/>
    <w:rsid w:val="00461165"/>
    <w:rsid w:val="004613A4"/>
    <w:rsid w:val="0046196B"/>
    <w:rsid w:val="00461A18"/>
    <w:rsid w:val="00461AEC"/>
    <w:rsid w:val="00461BE1"/>
    <w:rsid w:val="00461C15"/>
    <w:rsid w:val="00461CEE"/>
    <w:rsid w:val="00461DC5"/>
    <w:rsid w:val="00461E8B"/>
    <w:rsid w:val="00462047"/>
    <w:rsid w:val="0046246C"/>
    <w:rsid w:val="004627B6"/>
    <w:rsid w:val="004627EC"/>
    <w:rsid w:val="00462866"/>
    <w:rsid w:val="004629D6"/>
    <w:rsid w:val="00462ECC"/>
    <w:rsid w:val="00462FBC"/>
    <w:rsid w:val="00463009"/>
    <w:rsid w:val="00463095"/>
    <w:rsid w:val="0046318D"/>
    <w:rsid w:val="0046323C"/>
    <w:rsid w:val="004637E6"/>
    <w:rsid w:val="004638AC"/>
    <w:rsid w:val="004639C6"/>
    <w:rsid w:val="00463C72"/>
    <w:rsid w:val="00463FD2"/>
    <w:rsid w:val="00464008"/>
    <w:rsid w:val="00464838"/>
    <w:rsid w:val="00464AD6"/>
    <w:rsid w:val="00465434"/>
    <w:rsid w:val="0046547F"/>
    <w:rsid w:val="004659CF"/>
    <w:rsid w:val="00466262"/>
    <w:rsid w:val="004663BE"/>
    <w:rsid w:val="00466518"/>
    <w:rsid w:val="004667B6"/>
    <w:rsid w:val="00466C20"/>
    <w:rsid w:val="00466C52"/>
    <w:rsid w:val="00466D3D"/>
    <w:rsid w:val="00466F3D"/>
    <w:rsid w:val="00467275"/>
    <w:rsid w:val="00467616"/>
    <w:rsid w:val="00467629"/>
    <w:rsid w:val="00470090"/>
    <w:rsid w:val="0047023A"/>
    <w:rsid w:val="00470514"/>
    <w:rsid w:val="004708AE"/>
    <w:rsid w:val="00470C65"/>
    <w:rsid w:val="00470D14"/>
    <w:rsid w:val="00470F09"/>
    <w:rsid w:val="004715B4"/>
    <w:rsid w:val="004718C3"/>
    <w:rsid w:val="00471DA5"/>
    <w:rsid w:val="0047205D"/>
    <w:rsid w:val="00472068"/>
    <w:rsid w:val="0047207F"/>
    <w:rsid w:val="00473685"/>
    <w:rsid w:val="004739D0"/>
    <w:rsid w:val="00474013"/>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650"/>
    <w:rsid w:val="004777B4"/>
    <w:rsid w:val="004777F2"/>
    <w:rsid w:val="00477D37"/>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3F5"/>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59E"/>
    <w:rsid w:val="00491A15"/>
    <w:rsid w:val="00491A3B"/>
    <w:rsid w:val="00491B60"/>
    <w:rsid w:val="00491BA7"/>
    <w:rsid w:val="00491FF9"/>
    <w:rsid w:val="00492E5E"/>
    <w:rsid w:val="00493148"/>
    <w:rsid w:val="00493B7E"/>
    <w:rsid w:val="00493CA3"/>
    <w:rsid w:val="00493E50"/>
    <w:rsid w:val="0049425D"/>
    <w:rsid w:val="004944E4"/>
    <w:rsid w:val="0049452A"/>
    <w:rsid w:val="00494EBC"/>
    <w:rsid w:val="00494F97"/>
    <w:rsid w:val="004951FB"/>
    <w:rsid w:val="0049568B"/>
    <w:rsid w:val="00496050"/>
    <w:rsid w:val="00496166"/>
    <w:rsid w:val="00496303"/>
    <w:rsid w:val="004965F6"/>
    <w:rsid w:val="004965FF"/>
    <w:rsid w:val="00496863"/>
    <w:rsid w:val="004969E1"/>
    <w:rsid w:val="00496BE2"/>
    <w:rsid w:val="00496DD2"/>
    <w:rsid w:val="00496F6A"/>
    <w:rsid w:val="00496F95"/>
    <w:rsid w:val="00497174"/>
    <w:rsid w:val="0049733E"/>
    <w:rsid w:val="00497676"/>
    <w:rsid w:val="004976F3"/>
    <w:rsid w:val="004977EB"/>
    <w:rsid w:val="00497FEF"/>
    <w:rsid w:val="004A0349"/>
    <w:rsid w:val="004A079B"/>
    <w:rsid w:val="004A0848"/>
    <w:rsid w:val="004A0868"/>
    <w:rsid w:val="004A099D"/>
    <w:rsid w:val="004A09C8"/>
    <w:rsid w:val="004A0BE1"/>
    <w:rsid w:val="004A0C04"/>
    <w:rsid w:val="004A0D0A"/>
    <w:rsid w:val="004A0D68"/>
    <w:rsid w:val="004A131D"/>
    <w:rsid w:val="004A16F3"/>
    <w:rsid w:val="004A17C4"/>
    <w:rsid w:val="004A192D"/>
    <w:rsid w:val="004A1EE3"/>
    <w:rsid w:val="004A2070"/>
    <w:rsid w:val="004A23CD"/>
    <w:rsid w:val="004A2CC0"/>
    <w:rsid w:val="004A2FF0"/>
    <w:rsid w:val="004A33F5"/>
    <w:rsid w:val="004A344F"/>
    <w:rsid w:val="004A34D7"/>
    <w:rsid w:val="004A381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4A7"/>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8A8"/>
    <w:rsid w:val="004B1ECF"/>
    <w:rsid w:val="004B23BA"/>
    <w:rsid w:val="004B272D"/>
    <w:rsid w:val="004B28B7"/>
    <w:rsid w:val="004B28FA"/>
    <w:rsid w:val="004B2909"/>
    <w:rsid w:val="004B2B47"/>
    <w:rsid w:val="004B2C15"/>
    <w:rsid w:val="004B3010"/>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4F4"/>
    <w:rsid w:val="004B782D"/>
    <w:rsid w:val="004B78C2"/>
    <w:rsid w:val="004B7D17"/>
    <w:rsid w:val="004B7DA4"/>
    <w:rsid w:val="004B7EF3"/>
    <w:rsid w:val="004C01AA"/>
    <w:rsid w:val="004C070E"/>
    <w:rsid w:val="004C0DB9"/>
    <w:rsid w:val="004C0EDC"/>
    <w:rsid w:val="004C0F82"/>
    <w:rsid w:val="004C167B"/>
    <w:rsid w:val="004C1758"/>
    <w:rsid w:val="004C1AA7"/>
    <w:rsid w:val="004C25B0"/>
    <w:rsid w:val="004C29D5"/>
    <w:rsid w:val="004C2BD8"/>
    <w:rsid w:val="004C2DF1"/>
    <w:rsid w:val="004C2E29"/>
    <w:rsid w:val="004C301F"/>
    <w:rsid w:val="004C32B5"/>
    <w:rsid w:val="004C3322"/>
    <w:rsid w:val="004C33A8"/>
    <w:rsid w:val="004C3554"/>
    <w:rsid w:val="004C35EC"/>
    <w:rsid w:val="004C372E"/>
    <w:rsid w:val="004C37D8"/>
    <w:rsid w:val="004C3976"/>
    <w:rsid w:val="004C3D7D"/>
    <w:rsid w:val="004C3E31"/>
    <w:rsid w:val="004C3F43"/>
    <w:rsid w:val="004C4065"/>
    <w:rsid w:val="004C4243"/>
    <w:rsid w:val="004C47C8"/>
    <w:rsid w:val="004C4963"/>
    <w:rsid w:val="004C4CB3"/>
    <w:rsid w:val="004C4F2E"/>
    <w:rsid w:val="004C5472"/>
    <w:rsid w:val="004C5C77"/>
    <w:rsid w:val="004C5DDB"/>
    <w:rsid w:val="004C5F08"/>
    <w:rsid w:val="004C6008"/>
    <w:rsid w:val="004C6410"/>
    <w:rsid w:val="004C6ACD"/>
    <w:rsid w:val="004C6FCB"/>
    <w:rsid w:val="004C7366"/>
    <w:rsid w:val="004C7B76"/>
    <w:rsid w:val="004C7E86"/>
    <w:rsid w:val="004C7EB6"/>
    <w:rsid w:val="004C7F8E"/>
    <w:rsid w:val="004D0002"/>
    <w:rsid w:val="004D060B"/>
    <w:rsid w:val="004D0C5D"/>
    <w:rsid w:val="004D0C7C"/>
    <w:rsid w:val="004D107B"/>
    <w:rsid w:val="004D11E1"/>
    <w:rsid w:val="004D140A"/>
    <w:rsid w:val="004D16E0"/>
    <w:rsid w:val="004D18A6"/>
    <w:rsid w:val="004D193E"/>
    <w:rsid w:val="004D1941"/>
    <w:rsid w:val="004D1AD2"/>
    <w:rsid w:val="004D1E45"/>
    <w:rsid w:val="004D1F2F"/>
    <w:rsid w:val="004D2296"/>
    <w:rsid w:val="004D238A"/>
    <w:rsid w:val="004D23A5"/>
    <w:rsid w:val="004D2467"/>
    <w:rsid w:val="004D2AB8"/>
    <w:rsid w:val="004D2B84"/>
    <w:rsid w:val="004D2D6B"/>
    <w:rsid w:val="004D301D"/>
    <w:rsid w:val="004D3043"/>
    <w:rsid w:val="004D3377"/>
    <w:rsid w:val="004D3561"/>
    <w:rsid w:val="004D366B"/>
    <w:rsid w:val="004D3873"/>
    <w:rsid w:val="004D3AE8"/>
    <w:rsid w:val="004D3B37"/>
    <w:rsid w:val="004D3CE3"/>
    <w:rsid w:val="004D3CF6"/>
    <w:rsid w:val="004D3D5D"/>
    <w:rsid w:val="004D3E1C"/>
    <w:rsid w:val="004D3F72"/>
    <w:rsid w:val="004D411A"/>
    <w:rsid w:val="004D4293"/>
    <w:rsid w:val="004D54F9"/>
    <w:rsid w:val="004D5646"/>
    <w:rsid w:val="004D607A"/>
    <w:rsid w:val="004D60A7"/>
    <w:rsid w:val="004D61DF"/>
    <w:rsid w:val="004D6371"/>
    <w:rsid w:val="004D663D"/>
    <w:rsid w:val="004D6769"/>
    <w:rsid w:val="004D68A3"/>
    <w:rsid w:val="004D6936"/>
    <w:rsid w:val="004D6EC2"/>
    <w:rsid w:val="004D722B"/>
    <w:rsid w:val="004D7409"/>
    <w:rsid w:val="004D7614"/>
    <w:rsid w:val="004D780D"/>
    <w:rsid w:val="004D7A0B"/>
    <w:rsid w:val="004D7B4A"/>
    <w:rsid w:val="004D7C13"/>
    <w:rsid w:val="004E054B"/>
    <w:rsid w:val="004E0764"/>
    <w:rsid w:val="004E0A76"/>
    <w:rsid w:val="004E0B76"/>
    <w:rsid w:val="004E0DA5"/>
    <w:rsid w:val="004E0E20"/>
    <w:rsid w:val="004E1136"/>
    <w:rsid w:val="004E1245"/>
    <w:rsid w:val="004E13C1"/>
    <w:rsid w:val="004E25C1"/>
    <w:rsid w:val="004E262B"/>
    <w:rsid w:val="004E2EE6"/>
    <w:rsid w:val="004E3115"/>
    <w:rsid w:val="004E3772"/>
    <w:rsid w:val="004E3A38"/>
    <w:rsid w:val="004E3B23"/>
    <w:rsid w:val="004E3C1E"/>
    <w:rsid w:val="004E3CBF"/>
    <w:rsid w:val="004E3FB7"/>
    <w:rsid w:val="004E3FBB"/>
    <w:rsid w:val="004E40A9"/>
    <w:rsid w:val="004E4292"/>
    <w:rsid w:val="004E4565"/>
    <w:rsid w:val="004E4C3B"/>
    <w:rsid w:val="004E4CFB"/>
    <w:rsid w:val="004E4EFA"/>
    <w:rsid w:val="004E5340"/>
    <w:rsid w:val="004E53AD"/>
    <w:rsid w:val="004E53FD"/>
    <w:rsid w:val="004E5670"/>
    <w:rsid w:val="004E59A4"/>
    <w:rsid w:val="004E59CB"/>
    <w:rsid w:val="004E5C22"/>
    <w:rsid w:val="004E5F8C"/>
    <w:rsid w:val="004E60CC"/>
    <w:rsid w:val="004E66FA"/>
    <w:rsid w:val="004E68B8"/>
    <w:rsid w:val="004E6A20"/>
    <w:rsid w:val="004E723C"/>
    <w:rsid w:val="004E7288"/>
    <w:rsid w:val="004E7342"/>
    <w:rsid w:val="004E7469"/>
    <w:rsid w:val="004E75BD"/>
    <w:rsid w:val="004E78C3"/>
    <w:rsid w:val="004F0094"/>
    <w:rsid w:val="004F0232"/>
    <w:rsid w:val="004F0413"/>
    <w:rsid w:val="004F0583"/>
    <w:rsid w:val="004F09B1"/>
    <w:rsid w:val="004F0DFA"/>
    <w:rsid w:val="004F0EF4"/>
    <w:rsid w:val="004F1401"/>
    <w:rsid w:val="004F162C"/>
    <w:rsid w:val="004F17F4"/>
    <w:rsid w:val="004F1A53"/>
    <w:rsid w:val="004F1B1E"/>
    <w:rsid w:val="004F226C"/>
    <w:rsid w:val="004F23C0"/>
    <w:rsid w:val="004F257B"/>
    <w:rsid w:val="004F262F"/>
    <w:rsid w:val="004F2BF2"/>
    <w:rsid w:val="004F2CB8"/>
    <w:rsid w:val="004F2FB6"/>
    <w:rsid w:val="004F3016"/>
    <w:rsid w:val="004F304C"/>
    <w:rsid w:val="004F310D"/>
    <w:rsid w:val="004F3347"/>
    <w:rsid w:val="004F3488"/>
    <w:rsid w:val="004F34FA"/>
    <w:rsid w:val="004F37E9"/>
    <w:rsid w:val="004F3B33"/>
    <w:rsid w:val="004F3F5B"/>
    <w:rsid w:val="004F424A"/>
    <w:rsid w:val="004F4597"/>
    <w:rsid w:val="004F4875"/>
    <w:rsid w:val="004F4A6F"/>
    <w:rsid w:val="004F4BE1"/>
    <w:rsid w:val="004F4E39"/>
    <w:rsid w:val="004F56BF"/>
    <w:rsid w:val="004F58EC"/>
    <w:rsid w:val="004F5B84"/>
    <w:rsid w:val="004F5C26"/>
    <w:rsid w:val="004F6148"/>
    <w:rsid w:val="004F671A"/>
    <w:rsid w:val="004F6B6A"/>
    <w:rsid w:val="004F6C28"/>
    <w:rsid w:val="004F6FC9"/>
    <w:rsid w:val="004F7066"/>
    <w:rsid w:val="004F7129"/>
    <w:rsid w:val="004F74EC"/>
    <w:rsid w:val="004F7849"/>
    <w:rsid w:val="004F7BDC"/>
    <w:rsid w:val="00500446"/>
    <w:rsid w:val="00500545"/>
    <w:rsid w:val="0050067C"/>
    <w:rsid w:val="00500E51"/>
    <w:rsid w:val="00500E76"/>
    <w:rsid w:val="0050183C"/>
    <w:rsid w:val="005018F5"/>
    <w:rsid w:val="00501B7C"/>
    <w:rsid w:val="00501E35"/>
    <w:rsid w:val="00501FD3"/>
    <w:rsid w:val="0050218C"/>
    <w:rsid w:val="00502A29"/>
    <w:rsid w:val="0050307A"/>
    <w:rsid w:val="005034C9"/>
    <w:rsid w:val="00503821"/>
    <w:rsid w:val="00503AA7"/>
    <w:rsid w:val="00504552"/>
    <w:rsid w:val="00504EDC"/>
    <w:rsid w:val="00504EF6"/>
    <w:rsid w:val="0050522B"/>
    <w:rsid w:val="00505243"/>
    <w:rsid w:val="00505473"/>
    <w:rsid w:val="005054A4"/>
    <w:rsid w:val="00505504"/>
    <w:rsid w:val="005058AC"/>
    <w:rsid w:val="00505915"/>
    <w:rsid w:val="00506261"/>
    <w:rsid w:val="005062FA"/>
    <w:rsid w:val="00506AD6"/>
    <w:rsid w:val="00506E32"/>
    <w:rsid w:val="00506ECA"/>
    <w:rsid w:val="00507220"/>
    <w:rsid w:val="00507449"/>
    <w:rsid w:val="00507695"/>
    <w:rsid w:val="00507822"/>
    <w:rsid w:val="00507B7C"/>
    <w:rsid w:val="00507C7B"/>
    <w:rsid w:val="00507D3E"/>
    <w:rsid w:val="00510A16"/>
    <w:rsid w:val="00510BF6"/>
    <w:rsid w:val="00510BF7"/>
    <w:rsid w:val="00510D07"/>
    <w:rsid w:val="00510DB6"/>
    <w:rsid w:val="005110AD"/>
    <w:rsid w:val="00511119"/>
    <w:rsid w:val="0051131B"/>
    <w:rsid w:val="00511A0C"/>
    <w:rsid w:val="00511AC6"/>
    <w:rsid w:val="00511EFA"/>
    <w:rsid w:val="0051224D"/>
    <w:rsid w:val="005126ED"/>
    <w:rsid w:val="005127CE"/>
    <w:rsid w:val="0051285D"/>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EC1"/>
    <w:rsid w:val="00517FF0"/>
    <w:rsid w:val="005203B1"/>
    <w:rsid w:val="0052063D"/>
    <w:rsid w:val="00520654"/>
    <w:rsid w:val="005209EA"/>
    <w:rsid w:val="00520A56"/>
    <w:rsid w:val="00520DB9"/>
    <w:rsid w:val="00521858"/>
    <w:rsid w:val="00521D9A"/>
    <w:rsid w:val="0052220C"/>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6120"/>
    <w:rsid w:val="0052626A"/>
    <w:rsid w:val="0052641E"/>
    <w:rsid w:val="00526605"/>
    <w:rsid w:val="005269F8"/>
    <w:rsid w:val="00526B98"/>
    <w:rsid w:val="00527429"/>
    <w:rsid w:val="005277AD"/>
    <w:rsid w:val="00527D08"/>
    <w:rsid w:val="00527F9D"/>
    <w:rsid w:val="0053016E"/>
    <w:rsid w:val="00530190"/>
    <w:rsid w:val="005301D4"/>
    <w:rsid w:val="00530341"/>
    <w:rsid w:val="00530642"/>
    <w:rsid w:val="005306DA"/>
    <w:rsid w:val="00531089"/>
    <w:rsid w:val="00531757"/>
    <w:rsid w:val="00531808"/>
    <w:rsid w:val="00531C3D"/>
    <w:rsid w:val="00531CEB"/>
    <w:rsid w:val="00531E45"/>
    <w:rsid w:val="0053225C"/>
    <w:rsid w:val="005322BD"/>
    <w:rsid w:val="00532425"/>
    <w:rsid w:val="00532A79"/>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542"/>
    <w:rsid w:val="00534B46"/>
    <w:rsid w:val="00534B5F"/>
    <w:rsid w:val="00534F93"/>
    <w:rsid w:val="00535696"/>
    <w:rsid w:val="005357AA"/>
    <w:rsid w:val="005358AB"/>
    <w:rsid w:val="00535E74"/>
    <w:rsid w:val="00535F8F"/>
    <w:rsid w:val="00535F9F"/>
    <w:rsid w:val="00536485"/>
    <w:rsid w:val="0053663A"/>
    <w:rsid w:val="00536765"/>
    <w:rsid w:val="00536A22"/>
    <w:rsid w:val="00536D3E"/>
    <w:rsid w:val="00536E50"/>
    <w:rsid w:val="00536ECC"/>
    <w:rsid w:val="0053714E"/>
    <w:rsid w:val="005375B4"/>
    <w:rsid w:val="00537624"/>
    <w:rsid w:val="005376D9"/>
    <w:rsid w:val="00537CB6"/>
    <w:rsid w:val="00537EB0"/>
    <w:rsid w:val="00540B57"/>
    <w:rsid w:val="00540C82"/>
    <w:rsid w:val="00541946"/>
    <w:rsid w:val="00541950"/>
    <w:rsid w:val="00541E5F"/>
    <w:rsid w:val="00541FB6"/>
    <w:rsid w:val="00542196"/>
    <w:rsid w:val="005422F2"/>
    <w:rsid w:val="0054258E"/>
    <w:rsid w:val="005428DB"/>
    <w:rsid w:val="005429E6"/>
    <w:rsid w:val="005430A1"/>
    <w:rsid w:val="0054339E"/>
    <w:rsid w:val="00543616"/>
    <w:rsid w:val="0054365B"/>
    <w:rsid w:val="00544211"/>
    <w:rsid w:val="00544289"/>
    <w:rsid w:val="005443C8"/>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4A3"/>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2F2"/>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B8D"/>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8AE"/>
    <w:rsid w:val="0056096E"/>
    <w:rsid w:val="00560A19"/>
    <w:rsid w:val="00560BCB"/>
    <w:rsid w:val="00560DFD"/>
    <w:rsid w:val="00560EB6"/>
    <w:rsid w:val="00561417"/>
    <w:rsid w:val="00561E06"/>
    <w:rsid w:val="00562193"/>
    <w:rsid w:val="00562380"/>
    <w:rsid w:val="0056259F"/>
    <w:rsid w:val="0056264F"/>
    <w:rsid w:val="00562867"/>
    <w:rsid w:val="00562887"/>
    <w:rsid w:val="00562AB2"/>
    <w:rsid w:val="00562D68"/>
    <w:rsid w:val="00563223"/>
    <w:rsid w:val="0056330F"/>
    <w:rsid w:val="0056359A"/>
    <w:rsid w:val="005636BD"/>
    <w:rsid w:val="0056390A"/>
    <w:rsid w:val="00563A7D"/>
    <w:rsid w:val="00563A9C"/>
    <w:rsid w:val="00563B2F"/>
    <w:rsid w:val="00563B82"/>
    <w:rsid w:val="00563DEB"/>
    <w:rsid w:val="00563F9F"/>
    <w:rsid w:val="005642F9"/>
    <w:rsid w:val="0056443D"/>
    <w:rsid w:val="00564571"/>
    <w:rsid w:val="00564713"/>
    <w:rsid w:val="00564960"/>
    <w:rsid w:val="00564B3C"/>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697"/>
    <w:rsid w:val="005707A6"/>
    <w:rsid w:val="00570A62"/>
    <w:rsid w:val="00571116"/>
    <w:rsid w:val="00571134"/>
    <w:rsid w:val="005714AD"/>
    <w:rsid w:val="00571507"/>
    <w:rsid w:val="00571565"/>
    <w:rsid w:val="00571CE7"/>
    <w:rsid w:val="0057221C"/>
    <w:rsid w:val="005727EA"/>
    <w:rsid w:val="00572957"/>
    <w:rsid w:val="005729CB"/>
    <w:rsid w:val="005729F1"/>
    <w:rsid w:val="005730DD"/>
    <w:rsid w:val="005737FC"/>
    <w:rsid w:val="00573898"/>
    <w:rsid w:val="00573AF3"/>
    <w:rsid w:val="005741A5"/>
    <w:rsid w:val="005741B3"/>
    <w:rsid w:val="005741B5"/>
    <w:rsid w:val="005742B2"/>
    <w:rsid w:val="0057467D"/>
    <w:rsid w:val="005746C3"/>
    <w:rsid w:val="00574BDA"/>
    <w:rsid w:val="00574D64"/>
    <w:rsid w:val="00574E5A"/>
    <w:rsid w:val="00574F21"/>
    <w:rsid w:val="0057505B"/>
    <w:rsid w:val="005750C1"/>
    <w:rsid w:val="005751BA"/>
    <w:rsid w:val="005753C8"/>
    <w:rsid w:val="005758D9"/>
    <w:rsid w:val="005758F8"/>
    <w:rsid w:val="005759EF"/>
    <w:rsid w:val="00576214"/>
    <w:rsid w:val="00576581"/>
    <w:rsid w:val="0057663D"/>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9A5"/>
    <w:rsid w:val="00581B8A"/>
    <w:rsid w:val="00581D1B"/>
    <w:rsid w:val="00581F03"/>
    <w:rsid w:val="00581F6B"/>
    <w:rsid w:val="0058202A"/>
    <w:rsid w:val="005822AC"/>
    <w:rsid w:val="005822E9"/>
    <w:rsid w:val="00582B12"/>
    <w:rsid w:val="0058336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553"/>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3CC"/>
    <w:rsid w:val="005A0445"/>
    <w:rsid w:val="005A0587"/>
    <w:rsid w:val="005A0E08"/>
    <w:rsid w:val="005A1048"/>
    <w:rsid w:val="005A1684"/>
    <w:rsid w:val="005A1D6F"/>
    <w:rsid w:val="005A1E2B"/>
    <w:rsid w:val="005A1E96"/>
    <w:rsid w:val="005A1FB5"/>
    <w:rsid w:val="005A2343"/>
    <w:rsid w:val="005A2F20"/>
    <w:rsid w:val="005A3153"/>
    <w:rsid w:val="005A32FD"/>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79E"/>
    <w:rsid w:val="005B0B8E"/>
    <w:rsid w:val="005B0E71"/>
    <w:rsid w:val="005B1033"/>
    <w:rsid w:val="005B199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AAE"/>
    <w:rsid w:val="005B4BDD"/>
    <w:rsid w:val="005B513A"/>
    <w:rsid w:val="005B53E5"/>
    <w:rsid w:val="005B5987"/>
    <w:rsid w:val="005B5A5D"/>
    <w:rsid w:val="005B6078"/>
    <w:rsid w:val="005B62ED"/>
    <w:rsid w:val="005B639B"/>
    <w:rsid w:val="005B655B"/>
    <w:rsid w:val="005B678E"/>
    <w:rsid w:val="005B6C4D"/>
    <w:rsid w:val="005B6D97"/>
    <w:rsid w:val="005B6EE2"/>
    <w:rsid w:val="005B756E"/>
    <w:rsid w:val="005B79BA"/>
    <w:rsid w:val="005B7A93"/>
    <w:rsid w:val="005B7D6E"/>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A58"/>
    <w:rsid w:val="005C2C8F"/>
    <w:rsid w:val="005C2EA4"/>
    <w:rsid w:val="005C327C"/>
    <w:rsid w:val="005C3964"/>
    <w:rsid w:val="005C3A27"/>
    <w:rsid w:val="005C4197"/>
    <w:rsid w:val="005C4204"/>
    <w:rsid w:val="005C4211"/>
    <w:rsid w:val="005C49C7"/>
    <w:rsid w:val="005C4DFC"/>
    <w:rsid w:val="005C51A9"/>
    <w:rsid w:val="005C57D2"/>
    <w:rsid w:val="005C5AEF"/>
    <w:rsid w:val="005C5C99"/>
    <w:rsid w:val="005C5ED5"/>
    <w:rsid w:val="005C65FC"/>
    <w:rsid w:val="005C697E"/>
    <w:rsid w:val="005C6A5C"/>
    <w:rsid w:val="005C6DFD"/>
    <w:rsid w:val="005C71FD"/>
    <w:rsid w:val="005C7863"/>
    <w:rsid w:val="005C795E"/>
    <w:rsid w:val="005C7DE3"/>
    <w:rsid w:val="005C7FBF"/>
    <w:rsid w:val="005C7FC5"/>
    <w:rsid w:val="005D008E"/>
    <w:rsid w:val="005D0318"/>
    <w:rsid w:val="005D05DD"/>
    <w:rsid w:val="005D0695"/>
    <w:rsid w:val="005D0903"/>
    <w:rsid w:val="005D0A5B"/>
    <w:rsid w:val="005D0F01"/>
    <w:rsid w:val="005D1336"/>
    <w:rsid w:val="005D16C1"/>
    <w:rsid w:val="005D170B"/>
    <w:rsid w:val="005D191B"/>
    <w:rsid w:val="005D1B16"/>
    <w:rsid w:val="005D1C11"/>
    <w:rsid w:val="005D1C2E"/>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8A8"/>
    <w:rsid w:val="005D48B3"/>
    <w:rsid w:val="005D4D22"/>
    <w:rsid w:val="005D50AF"/>
    <w:rsid w:val="005D52CA"/>
    <w:rsid w:val="005D5337"/>
    <w:rsid w:val="005D55BF"/>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7EE"/>
    <w:rsid w:val="005E08AD"/>
    <w:rsid w:val="005E0A9E"/>
    <w:rsid w:val="005E0B7B"/>
    <w:rsid w:val="005E0F6F"/>
    <w:rsid w:val="005E1122"/>
    <w:rsid w:val="005E145C"/>
    <w:rsid w:val="005E1657"/>
    <w:rsid w:val="005E177A"/>
    <w:rsid w:val="005E17DE"/>
    <w:rsid w:val="005E1B66"/>
    <w:rsid w:val="005E1DEE"/>
    <w:rsid w:val="005E1FF0"/>
    <w:rsid w:val="005E207D"/>
    <w:rsid w:val="005E2579"/>
    <w:rsid w:val="005E2582"/>
    <w:rsid w:val="005E2AF4"/>
    <w:rsid w:val="005E2BEB"/>
    <w:rsid w:val="005E2FC9"/>
    <w:rsid w:val="005E3728"/>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568B"/>
    <w:rsid w:val="005E5DA1"/>
    <w:rsid w:val="005E5F43"/>
    <w:rsid w:val="005E60B4"/>
    <w:rsid w:val="005E6D96"/>
    <w:rsid w:val="005E6EFC"/>
    <w:rsid w:val="005E7135"/>
    <w:rsid w:val="005E73F5"/>
    <w:rsid w:val="005E7765"/>
    <w:rsid w:val="005E78C9"/>
    <w:rsid w:val="005E7ADE"/>
    <w:rsid w:val="005E7DDF"/>
    <w:rsid w:val="005F00BE"/>
    <w:rsid w:val="005F0106"/>
    <w:rsid w:val="005F07E5"/>
    <w:rsid w:val="005F087C"/>
    <w:rsid w:val="005F0B76"/>
    <w:rsid w:val="005F13A9"/>
    <w:rsid w:val="005F1507"/>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37E"/>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66"/>
    <w:rsid w:val="0060059B"/>
    <w:rsid w:val="0060086E"/>
    <w:rsid w:val="0060110A"/>
    <w:rsid w:val="006011C7"/>
    <w:rsid w:val="006013B2"/>
    <w:rsid w:val="0060196E"/>
    <w:rsid w:val="00601D73"/>
    <w:rsid w:val="00602C75"/>
    <w:rsid w:val="00602DDE"/>
    <w:rsid w:val="00602F30"/>
    <w:rsid w:val="0060308A"/>
    <w:rsid w:val="0060313A"/>
    <w:rsid w:val="00603253"/>
    <w:rsid w:val="00603688"/>
    <w:rsid w:val="00603A3A"/>
    <w:rsid w:val="00603E75"/>
    <w:rsid w:val="0060428D"/>
    <w:rsid w:val="00604749"/>
    <w:rsid w:val="0060482D"/>
    <w:rsid w:val="00604FC2"/>
    <w:rsid w:val="006051C9"/>
    <w:rsid w:val="006055D4"/>
    <w:rsid w:val="0060578B"/>
    <w:rsid w:val="00605C37"/>
    <w:rsid w:val="00605EAB"/>
    <w:rsid w:val="00605FD1"/>
    <w:rsid w:val="006063C2"/>
    <w:rsid w:val="00606426"/>
    <w:rsid w:val="00606718"/>
    <w:rsid w:val="006069B7"/>
    <w:rsid w:val="00607237"/>
    <w:rsid w:val="00607787"/>
    <w:rsid w:val="0060778B"/>
    <w:rsid w:val="006077B1"/>
    <w:rsid w:val="00607AF4"/>
    <w:rsid w:val="00607FD9"/>
    <w:rsid w:val="00610260"/>
    <w:rsid w:val="006105DC"/>
    <w:rsid w:val="0061089D"/>
    <w:rsid w:val="00610A1D"/>
    <w:rsid w:val="00610D14"/>
    <w:rsid w:val="00611046"/>
    <w:rsid w:val="006111AC"/>
    <w:rsid w:val="006113FE"/>
    <w:rsid w:val="00611C91"/>
    <w:rsid w:val="006126FF"/>
    <w:rsid w:val="0061276A"/>
    <w:rsid w:val="00612D15"/>
    <w:rsid w:val="0061309B"/>
    <w:rsid w:val="0061362A"/>
    <w:rsid w:val="006137F2"/>
    <w:rsid w:val="00613FC4"/>
    <w:rsid w:val="00614259"/>
    <w:rsid w:val="0061444B"/>
    <w:rsid w:val="0061461B"/>
    <w:rsid w:val="00614A05"/>
    <w:rsid w:val="006165E6"/>
    <w:rsid w:val="0061684A"/>
    <w:rsid w:val="00616CAB"/>
    <w:rsid w:val="006170C4"/>
    <w:rsid w:val="0061714F"/>
    <w:rsid w:val="00617292"/>
    <w:rsid w:val="00617705"/>
    <w:rsid w:val="00617903"/>
    <w:rsid w:val="00617C2D"/>
    <w:rsid w:val="00617CDB"/>
    <w:rsid w:val="00617E5E"/>
    <w:rsid w:val="0062004A"/>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08"/>
    <w:rsid w:val="006224E5"/>
    <w:rsid w:val="00622B31"/>
    <w:rsid w:val="00622E3E"/>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7D2"/>
    <w:rsid w:val="00625990"/>
    <w:rsid w:val="00625AF1"/>
    <w:rsid w:val="00625CDA"/>
    <w:rsid w:val="00625D24"/>
    <w:rsid w:val="00625EF4"/>
    <w:rsid w:val="00626166"/>
    <w:rsid w:val="006261EF"/>
    <w:rsid w:val="00626427"/>
    <w:rsid w:val="0062647C"/>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AB3"/>
    <w:rsid w:val="006316C2"/>
    <w:rsid w:val="00631CFF"/>
    <w:rsid w:val="00631E0F"/>
    <w:rsid w:val="00631E85"/>
    <w:rsid w:val="0063208A"/>
    <w:rsid w:val="0063219C"/>
    <w:rsid w:val="0063237F"/>
    <w:rsid w:val="0063241A"/>
    <w:rsid w:val="0063249F"/>
    <w:rsid w:val="00632530"/>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68E"/>
    <w:rsid w:val="00642A19"/>
    <w:rsid w:val="00642FE2"/>
    <w:rsid w:val="00643421"/>
    <w:rsid w:val="006438E1"/>
    <w:rsid w:val="006439FC"/>
    <w:rsid w:val="00643D42"/>
    <w:rsid w:val="00643DC7"/>
    <w:rsid w:val="00643F9B"/>
    <w:rsid w:val="00644410"/>
    <w:rsid w:val="0064448D"/>
    <w:rsid w:val="006446EC"/>
    <w:rsid w:val="00644795"/>
    <w:rsid w:val="00644CAB"/>
    <w:rsid w:val="00644DC5"/>
    <w:rsid w:val="00644DCE"/>
    <w:rsid w:val="00644F81"/>
    <w:rsid w:val="0064504F"/>
    <w:rsid w:val="006450AD"/>
    <w:rsid w:val="006450D1"/>
    <w:rsid w:val="006455F5"/>
    <w:rsid w:val="0064571B"/>
    <w:rsid w:val="006461BB"/>
    <w:rsid w:val="00646990"/>
    <w:rsid w:val="00646AFF"/>
    <w:rsid w:val="00646B4B"/>
    <w:rsid w:val="00646C13"/>
    <w:rsid w:val="00646C59"/>
    <w:rsid w:val="00646D21"/>
    <w:rsid w:val="00646E2E"/>
    <w:rsid w:val="00646F54"/>
    <w:rsid w:val="00647193"/>
    <w:rsid w:val="00647541"/>
    <w:rsid w:val="00647723"/>
    <w:rsid w:val="00647999"/>
    <w:rsid w:val="00650061"/>
    <w:rsid w:val="00650604"/>
    <w:rsid w:val="006506B8"/>
    <w:rsid w:val="00650C46"/>
    <w:rsid w:val="00651301"/>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00"/>
    <w:rsid w:val="006546F5"/>
    <w:rsid w:val="0065488E"/>
    <w:rsid w:val="0065493F"/>
    <w:rsid w:val="00654AFF"/>
    <w:rsid w:val="00654B5C"/>
    <w:rsid w:val="006553E3"/>
    <w:rsid w:val="00655914"/>
    <w:rsid w:val="00655A2F"/>
    <w:rsid w:val="00655A6E"/>
    <w:rsid w:val="00655E98"/>
    <w:rsid w:val="00655FCD"/>
    <w:rsid w:val="00655FDF"/>
    <w:rsid w:val="00656374"/>
    <w:rsid w:val="006568B2"/>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693"/>
    <w:rsid w:val="006639DE"/>
    <w:rsid w:val="00663A00"/>
    <w:rsid w:val="00663BC6"/>
    <w:rsid w:val="00663E93"/>
    <w:rsid w:val="00663F79"/>
    <w:rsid w:val="00664219"/>
    <w:rsid w:val="00664232"/>
    <w:rsid w:val="00664570"/>
    <w:rsid w:val="0066507F"/>
    <w:rsid w:val="00665355"/>
    <w:rsid w:val="0066554A"/>
    <w:rsid w:val="006655B2"/>
    <w:rsid w:val="006659B4"/>
    <w:rsid w:val="00666273"/>
    <w:rsid w:val="00666C7C"/>
    <w:rsid w:val="00666DF3"/>
    <w:rsid w:val="00667471"/>
    <w:rsid w:val="0066755E"/>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600"/>
    <w:rsid w:val="006739CC"/>
    <w:rsid w:val="00673EC3"/>
    <w:rsid w:val="00673F75"/>
    <w:rsid w:val="006742B7"/>
    <w:rsid w:val="00674537"/>
    <w:rsid w:val="0067475E"/>
    <w:rsid w:val="0067489C"/>
    <w:rsid w:val="00675338"/>
    <w:rsid w:val="006755BF"/>
    <w:rsid w:val="00675636"/>
    <w:rsid w:val="00675798"/>
    <w:rsid w:val="00675AAE"/>
    <w:rsid w:val="00675F32"/>
    <w:rsid w:val="006763E9"/>
    <w:rsid w:val="006765D8"/>
    <w:rsid w:val="0067674D"/>
    <w:rsid w:val="00676B87"/>
    <w:rsid w:val="006774CB"/>
    <w:rsid w:val="00677C6D"/>
    <w:rsid w:val="00677D0B"/>
    <w:rsid w:val="00677DA5"/>
    <w:rsid w:val="00680247"/>
    <w:rsid w:val="0068033E"/>
    <w:rsid w:val="00680606"/>
    <w:rsid w:val="00680696"/>
    <w:rsid w:val="00680776"/>
    <w:rsid w:val="00680BC3"/>
    <w:rsid w:val="00680E74"/>
    <w:rsid w:val="00680F74"/>
    <w:rsid w:val="00681178"/>
    <w:rsid w:val="00681982"/>
    <w:rsid w:val="00681B12"/>
    <w:rsid w:val="00681B71"/>
    <w:rsid w:val="00681E17"/>
    <w:rsid w:val="00681E67"/>
    <w:rsid w:val="00681F42"/>
    <w:rsid w:val="00681F71"/>
    <w:rsid w:val="0068210A"/>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F07"/>
    <w:rsid w:val="006856FA"/>
    <w:rsid w:val="006859D0"/>
    <w:rsid w:val="00685D0C"/>
    <w:rsid w:val="00685E54"/>
    <w:rsid w:val="00686013"/>
    <w:rsid w:val="00686275"/>
    <w:rsid w:val="006864B9"/>
    <w:rsid w:val="00686890"/>
    <w:rsid w:val="00686931"/>
    <w:rsid w:val="00686A26"/>
    <w:rsid w:val="00686C24"/>
    <w:rsid w:val="00686D5D"/>
    <w:rsid w:val="00686EE5"/>
    <w:rsid w:val="00686FCE"/>
    <w:rsid w:val="00687087"/>
    <w:rsid w:val="006872B7"/>
    <w:rsid w:val="006875B0"/>
    <w:rsid w:val="0068772B"/>
    <w:rsid w:val="006902AB"/>
    <w:rsid w:val="00690B9E"/>
    <w:rsid w:val="00691519"/>
    <w:rsid w:val="00691805"/>
    <w:rsid w:val="00691C28"/>
    <w:rsid w:val="00691D73"/>
    <w:rsid w:val="00691F80"/>
    <w:rsid w:val="00692CC4"/>
    <w:rsid w:val="00692EA6"/>
    <w:rsid w:val="00693571"/>
    <w:rsid w:val="006936B1"/>
    <w:rsid w:val="006936C8"/>
    <w:rsid w:val="006939D3"/>
    <w:rsid w:val="00693A3F"/>
    <w:rsid w:val="006940FE"/>
    <w:rsid w:val="00694D53"/>
    <w:rsid w:val="00694DA7"/>
    <w:rsid w:val="006952F1"/>
    <w:rsid w:val="00695405"/>
    <w:rsid w:val="00695CB5"/>
    <w:rsid w:val="00695CFB"/>
    <w:rsid w:val="00695FB3"/>
    <w:rsid w:val="00695FEF"/>
    <w:rsid w:val="006960A8"/>
    <w:rsid w:val="006966B6"/>
    <w:rsid w:val="00696918"/>
    <w:rsid w:val="0069696B"/>
    <w:rsid w:val="00697187"/>
    <w:rsid w:val="006972AB"/>
    <w:rsid w:val="006978FE"/>
    <w:rsid w:val="006979B7"/>
    <w:rsid w:val="00697D79"/>
    <w:rsid w:val="006A03AB"/>
    <w:rsid w:val="006A05C5"/>
    <w:rsid w:val="006A078B"/>
    <w:rsid w:val="006A09B6"/>
    <w:rsid w:val="006A0BC7"/>
    <w:rsid w:val="006A0C19"/>
    <w:rsid w:val="006A0C63"/>
    <w:rsid w:val="006A0EC8"/>
    <w:rsid w:val="006A1136"/>
    <w:rsid w:val="006A113C"/>
    <w:rsid w:val="006A1469"/>
    <w:rsid w:val="006A1524"/>
    <w:rsid w:val="006A164F"/>
    <w:rsid w:val="006A16F1"/>
    <w:rsid w:val="006A1B1D"/>
    <w:rsid w:val="006A1C60"/>
    <w:rsid w:val="006A1C88"/>
    <w:rsid w:val="006A2042"/>
    <w:rsid w:val="006A2051"/>
    <w:rsid w:val="006A23AC"/>
    <w:rsid w:val="006A254F"/>
    <w:rsid w:val="006A284E"/>
    <w:rsid w:val="006A29AA"/>
    <w:rsid w:val="006A2C3E"/>
    <w:rsid w:val="006A2DE2"/>
    <w:rsid w:val="006A2F5C"/>
    <w:rsid w:val="006A33E9"/>
    <w:rsid w:val="006A3672"/>
    <w:rsid w:val="006A36A3"/>
    <w:rsid w:val="006A38E4"/>
    <w:rsid w:val="006A3B4C"/>
    <w:rsid w:val="006A4169"/>
    <w:rsid w:val="006A4181"/>
    <w:rsid w:val="006A42C4"/>
    <w:rsid w:val="006A4428"/>
    <w:rsid w:val="006A4486"/>
    <w:rsid w:val="006A46A1"/>
    <w:rsid w:val="006A4816"/>
    <w:rsid w:val="006A4A65"/>
    <w:rsid w:val="006A4BB6"/>
    <w:rsid w:val="006A4CA0"/>
    <w:rsid w:val="006A4DE9"/>
    <w:rsid w:val="006A4EA4"/>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3D0"/>
    <w:rsid w:val="006B167B"/>
    <w:rsid w:val="006B16FB"/>
    <w:rsid w:val="006B19F3"/>
    <w:rsid w:val="006B1AD0"/>
    <w:rsid w:val="006B1BBD"/>
    <w:rsid w:val="006B200E"/>
    <w:rsid w:val="006B218E"/>
    <w:rsid w:val="006B2245"/>
    <w:rsid w:val="006B27C9"/>
    <w:rsid w:val="006B2B35"/>
    <w:rsid w:val="006B2B6C"/>
    <w:rsid w:val="006B2C43"/>
    <w:rsid w:val="006B3027"/>
    <w:rsid w:val="006B37E1"/>
    <w:rsid w:val="006B3E2C"/>
    <w:rsid w:val="006B3FD1"/>
    <w:rsid w:val="006B4556"/>
    <w:rsid w:val="006B4B61"/>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6F5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D42"/>
    <w:rsid w:val="006C3F07"/>
    <w:rsid w:val="006C4083"/>
    <w:rsid w:val="006C417A"/>
    <w:rsid w:val="006C41E5"/>
    <w:rsid w:val="006C4291"/>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81C"/>
    <w:rsid w:val="006C6AFA"/>
    <w:rsid w:val="006C7044"/>
    <w:rsid w:val="006C706A"/>
    <w:rsid w:val="006C763F"/>
    <w:rsid w:val="006C7959"/>
    <w:rsid w:val="006C7A8F"/>
    <w:rsid w:val="006C7CBC"/>
    <w:rsid w:val="006D0537"/>
    <w:rsid w:val="006D0588"/>
    <w:rsid w:val="006D0A22"/>
    <w:rsid w:val="006D0F2E"/>
    <w:rsid w:val="006D0F88"/>
    <w:rsid w:val="006D1030"/>
    <w:rsid w:val="006D1222"/>
    <w:rsid w:val="006D12B7"/>
    <w:rsid w:val="006D2013"/>
    <w:rsid w:val="006D213A"/>
    <w:rsid w:val="006D26F3"/>
    <w:rsid w:val="006D27A5"/>
    <w:rsid w:val="006D2954"/>
    <w:rsid w:val="006D2D1B"/>
    <w:rsid w:val="006D2D37"/>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2A2"/>
    <w:rsid w:val="006D72C9"/>
    <w:rsid w:val="006D75B4"/>
    <w:rsid w:val="006D7782"/>
    <w:rsid w:val="006D7A5B"/>
    <w:rsid w:val="006D7ACF"/>
    <w:rsid w:val="006E00EE"/>
    <w:rsid w:val="006E041E"/>
    <w:rsid w:val="006E0860"/>
    <w:rsid w:val="006E09F4"/>
    <w:rsid w:val="006E1230"/>
    <w:rsid w:val="006E1BAB"/>
    <w:rsid w:val="006E2030"/>
    <w:rsid w:val="006E206D"/>
    <w:rsid w:val="006E20F4"/>
    <w:rsid w:val="006E2258"/>
    <w:rsid w:val="006E2CF3"/>
    <w:rsid w:val="006E2D15"/>
    <w:rsid w:val="006E2E1F"/>
    <w:rsid w:val="006E2EC7"/>
    <w:rsid w:val="006E31FA"/>
    <w:rsid w:val="006E3489"/>
    <w:rsid w:val="006E36C0"/>
    <w:rsid w:val="006E3C73"/>
    <w:rsid w:val="006E3EAB"/>
    <w:rsid w:val="006E3FFF"/>
    <w:rsid w:val="006E40C2"/>
    <w:rsid w:val="006E44CF"/>
    <w:rsid w:val="006E52D0"/>
    <w:rsid w:val="006E5459"/>
    <w:rsid w:val="006E5530"/>
    <w:rsid w:val="006E57DA"/>
    <w:rsid w:val="006E5AEC"/>
    <w:rsid w:val="006E5EE5"/>
    <w:rsid w:val="006E6166"/>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676"/>
    <w:rsid w:val="006F0755"/>
    <w:rsid w:val="006F09A4"/>
    <w:rsid w:val="006F0FBC"/>
    <w:rsid w:val="006F1659"/>
    <w:rsid w:val="006F1736"/>
    <w:rsid w:val="006F1D23"/>
    <w:rsid w:val="006F1F37"/>
    <w:rsid w:val="006F2040"/>
    <w:rsid w:val="006F2091"/>
    <w:rsid w:val="006F2263"/>
    <w:rsid w:val="006F2582"/>
    <w:rsid w:val="006F25AA"/>
    <w:rsid w:val="006F25DD"/>
    <w:rsid w:val="006F25F2"/>
    <w:rsid w:val="006F268A"/>
    <w:rsid w:val="006F2697"/>
    <w:rsid w:val="006F27C0"/>
    <w:rsid w:val="006F2ACD"/>
    <w:rsid w:val="006F2B54"/>
    <w:rsid w:val="006F32F8"/>
    <w:rsid w:val="006F3729"/>
    <w:rsid w:val="006F378A"/>
    <w:rsid w:val="006F392C"/>
    <w:rsid w:val="006F3B12"/>
    <w:rsid w:val="006F3BBF"/>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199"/>
    <w:rsid w:val="00704BCE"/>
    <w:rsid w:val="00704E52"/>
    <w:rsid w:val="00705140"/>
    <w:rsid w:val="007051A5"/>
    <w:rsid w:val="00705723"/>
    <w:rsid w:val="00705795"/>
    <w:rsid w:val="0070580D"/>
    <w:rsid w:val="00705A4A"/>
    <w:rsid w:val="00705A8F"/>
    <w:rsid w:val="00705F99"/>
    <w:rsid w:val="00706097"/>
    <w:rsid w:val="00706AC7"/>
    <w:rsid w:val="00706ADF"/>
    <w:rsid w:val="00706AE6"/>
    <w:rsid w:val="00706C56"/>
    <w:rsid w:val="00706D71"/>
    <w:rsid w:val="00707258"/>
    <w:rsid w:val="0070741E"/>
    <w:rsid w:val="00707442"/>
    <w:rsid w:val="00707576"/>
    <w:rsid w:val="00707652"/>
    <w:rsid w:val="007076B9"/>
    <w:rsid w:val="007078BC"/>
    <w:rsid w:val="00707DD2"/>
    <w:rsid w:val="00710235"/>
    <w:rsid w:val="0071024A"/>
    <w:rsid w:val="00710284"/>
    <w:rsid w:val="0071051D"/>
    <w:rsid w:val="007108EE"/>
    <w:rsid w:val="00710957"/>
    <w:rsid w:val="00710B0A"/>
    <w:rsid w:val="00710E74"/>
    <w:rsid w:val="007111E3"/>
    <w:rsid w:val="0071140C"/>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9AE"/>
    <w:rsid w:val="00714B20"/>
    <w:rsid w:val="00714CF2"/>
    <w:rsid w:val="00714D39"/>
    <w:rsid w:val="00714F32"/>
    <w:rsid w:val="007153F5"/>
    <w:rsid w:val="00715744"/>
    <w:rsid w:val="00715AA3"/>
    <w:rsid w:val="00715E2D"/>
    <w:rsid w:val="00715FE9"/>
    <w:rsid w:val="00716270"/>
    <w:rsid w:val="007163E1"/>
    <w:rsid w:val="00716474"/>
    <w:rsid w:val="0071658C"/>
    <w:rsid w:val="00717597"/>
    <w:rsid w:val="007175C9"/>
    <w:rsid w:val="007175F9"/>
    <w:rsid w:val="00717789"/>
    <w:rsid w:val="00717A43"/>
    <w:rsid w:val="00717BAD"/>
    <w:rsid w:val="00717D37"/>
    <w:rsid w:val="00717DA4"/>
    <w:rsid w:val="00717EFE"/>
    <w:rsid w:val="007200E0"/>
    <w:rsid w:val="007201D1"/>
    <w:rsid w:val="0072058F"/>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2E14"/>
    <w:rsid w:val="0072325F"/>
    <w:rsid w:val="0072339A"/>
    <w:rsid w:val="00723FB5"/>
    <w:rsid w:val="00723FD4"/>
    <w:rsid w:val="007248E2"/>
    <w:rsid w:val="00724EDE"/>
    <w:rsid w:val="007252F6"/>
    <w:rsid w:val="00725E72"/>
    <w:rsid w:val="00725FCB"/>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2F6"/>
    <w:rsid w:val="00733615"/>
    <w:rsid w:val="0073369D"/>
    <w:rsid w:val="00733AFC"/>
    <w:rsid w:val="00733DB0"/>
    <w:rsid w:val="00733E21"/>
    <w:rsid w:val="00733E3F"/>
    <w:rsid w:val="00733EA4"/>
    <w:rsid w:val="00733F7A"/>
    <w:rsid w:val="007348C2"/>
    <w:rsid w:val="00734AD6"/>
    <w:rsid w:val="00734FC2"/>
    <w:rsid w:val="00735132"/>
    <w:rsid w:val="00735800"/>
    <w:rsid w:val="0073585A"/>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1E2"/>
    <w:rsid w:val="00744714"/>
    <w:rsid w:val="007447AE"/>
    <w:rsid w:val="00744A15"/>
    <w:rsid w:val="00744A7E"/>
    <w:rsid w:val="00744CD2"/>
    <w:rsid w:val="00744EB1"/>
    <w:rsid w:val="00744F9F"/>
    <w:rsid w:val="00745255"/>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31"/>
    <w:rsid w:val="007479CE"/>
    <w:rsid w:val="00747E30"/>
    <w:rsid w:val="00750374"/>
    <w:rsid w:val="00750408"/>
    <w:rsid w:val="0075073C"/>
    <w:rsid w:val="00750831"/>
    <w:rsid w:val="0075090B"/>
    <w:rsid w:val="0075099F"/>
    <w:rsid w:val="00750C90"/>
    <w:rsid w:val="00750E71"/>
    <w:rsid w:val="0075117C"/>
    <w:rsid w:val="00751438"/>
    <w:rsid w:val="00751599"/>
    <w:rsid w:val="00751AD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4CD"/>
    <w:rsid w:val="0075495C"/>
    <w:rsid w:val="00754F04"/>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183"/>
    <w:rsid w:val="00765479"/>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DF"/>
    <w:rsid w:val="00767E88"/>
    <w:rsid w:val="0077015D"/>
    <w:rsid w:val="00770608"/>
    <w:rsid w:val="0077061A"/>
    <w:rsid w:val="00770676"/>
    <w:rsid w:val="0077074A"/>
    <w:rsid w:val="00770787"/>
    <w:rsid w:val="007708B3"/>
    <w:rsid w:val="00771080"/>
    <w:rsid w:val="00771A91"/>
    <w:rsid w:val="00771A94"/>
    <w:rsid w:val="00771C0B"/>
    <w:rsid w:val="00771CA6"/>
    <w:rsid w:val="00771CE2"/>
    <w:rsid w:val="00771EB4"/>
    <w:rsid w:val="00771EFF"/>
    <w:rsid w:val="0077203D"/>
    <w:rsid w:val="0077226C"/>
    <w:rsid w:val="007724B9"/>
    <w:rsid w:val="007724DD"/>
    <w:rsid w:val="00772552"/>
    <w:rsid w:val="00772879"/>
    <w:rsid w:val="00772CCF"/>
    <w:rsid w:val="00772E03"/>
    <w:rsid w:val="00773071"/>
    <w:rsid w:val="00773F64"/>
    <w:rsid w:val="00773FE5"/>
    <w:rsid w:val="00774054"/>
    <w:rsid w:val="007744A2"/>
    <w:rsid w:val="007749DC"/>
    <w:rsid w:val="00774F69"/>
    <w:rsid w:val="007751C9"/>
    <w:rsid w:val="00775865"/>
    <w:rsid w:val="00775B26"/>
    <w:rsid w:val="007762DA"/>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454"/>
    <w:rsid w:val="0079072A"/>
    <w:rsid w:val="00790CF7"/>
    <w:rsid w:val="00790DBA"/>
    <w:rsid w:val="00790FEE"/>
    <w:rsid w:val="00791357"/>
    <w:rsid w:val="0079152E"/>
    <w:rsid w:val="00791A5A"/>
    <w:rsid w:val="00791BF6"/>
    <w:rsid w:val="00791FDE"/>
    <w:rsid w:val="0079206F"/>
    <w:rsid w:val="007920EA"/>
    <w:rsid w:val="00792293"/>
    <w:rsid w:val="007922B9"/>
    <w:rsid w:val="007923AC"/>
    <w:rsid w:val="007923CF"/>
    <w:rsid w:val="007924A1"/>
    <w:rsid w:val="00792BF8"/>
    <w:rsid w:val="00792C41"/>
    <w:rsid w:val="00792EFD"/>
    <w:rsid w:val="00792F10"/>
    <w:rsid w:val="0079353A"/>
    <w:rsid w:val="00793736"/>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3F43"/>
    <w:rsid w:val="007A42A2"/>
    <w:rsid w:val="007A4416"/>
    <w:rsid w:val="007A45EC"/>
    <w:rsid w:val="007A45FE"/>
    <w:rsid w:val="007A47E7"/>
    <w:rsid w:val="007A4ADF"/>
    <w:rsid w:val="007A5138"/>
    <w:rsid w:val="007A5C49"/>
    <w:rsid w:val="007A5F3F"/>
    <w:rsid w:val="007A5F95"/>
    <w:rsid w:val="007A635B"/>
    <w:rsid w:val="007A6714"/>
    <w:rsid w:val="007A67A4"/>
    <w:rsid w:val="007A69C5"/>
    <w:rsid w:val="007A6B88"/>
    <w:rsid w:val="007A6C0A"/>
    <w:rsid w:val="007A6C27"/>
    <w:rsid w:val="007A6DE1"/>
    <w:rsid w:val="007A6F00"/>
    <w:rsid w:val="007A7030"/>
    <w:rsid w:val="007A70F7"/>
    <w:rsid w:val="007A739B"/>
    <w:rsid w:val="007A7D04"/>
    <w:rsid w:val="007A7F42"/>
    <w:rsid w:val="007B0099"/>
    <w:rsid w:val="007B0910"/>
    <w:rsid w:val="007B0940"/>
    <w:rsid w:val="007B10EC"/>
    <w:rsid w:val="007B129F"/>
    <w:rsid w:val="007B12E9"/>
    <w:rsid w:val="007B135F"/>
    <w:rsid w:val="007B1CA3"/>
    <w:rsid w:val="007B221F"/>
    <w:rsid w:val="007B2F2E"/>
    <w:rsid w:val="007B3266"/>
    <w:rsid w:val="007B372A"/>
    <w:rsid w:val="007B3A5B"/>
    <w:rsid w:val="007B3BFB"/>
    <w:rsid w:val="007B3D91"/>
    <w:rsid w:val="007B412F"/>
    <w:rsid w:val="007B431C"/>
    <w:rsid w:val="007B4780"/>
    <w:rsid w:val="007B524F"/>
    <w:rsid w:val="007B5CC3"/>
    <w:rsid w:val="007B5DE6"/>
    <w:rsid w:val="007B60E8"/>
    <w:rsid w:val="007B610E"/>
    <w:rsid w:val="007B6237"/>
    <w:rsid w:val="007B6300"/>
    <w:rsid w:val="007B6E22"/>
    <w:rsid w:val="007B7040"/>
    <w:rsid w:val="007B715A"/>
    <w:rsid w:val="007B73AB"/>
    <w:rsid w:val="007B7459"/>
    <w:rsid w:val="007B74F5"/>
    <w:rsid w:val="007B7B0A"/>
    <w:rsid w:val="007B7ED2"/>
    <w:rsid w:val="007B7F09"/>
    <w:rsid w:val="007C05BC"/>
    <w:rsid w:val="007C061C"/>
    <w:rsid w:val="007C0817"/>
    <w:rsid w:val="007C0848"/>
    <w:rsid w:val="007C08F5"/>
    <w:rsid w:val="007C0EF5"/>
    <w:rsid w:val="007C0F3C"/>
    <w:rsid w:val="007C137F"/>
    <w:rsid w:val="007C14F5"/>
    <w:rsid w:val="007C1527"/>
    <w:rsid w:val="007C168D"/>
    <w:rsid w:val="007C1A7F"/>
    <w:rsid w:val="007C1B1A"/>
    <w:rsid w:val="007C1D3A"/>
    <w:rsid w:val="007C21B0"/>
    <w:rsid w:val="007C259F"/>
    <w:rsid w:val="007C26B1"/>
    <w:rsid w:val="007C2A01"/>
    <w:rsid w:val="007C2A77"/>
    <w:rsid w:val="007C2B11"/>
    <w:rsid w:val="007C2C18"/>
    <w:rsid w:val="007C2CD9"/>
    <w:rsid w:val="007C2D5D"/>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DE8"/>
    <w:rsid w:val="007C4EFE"/>
    <w:rsid w:val="007C58B1"/>
    <w:rsid w:val="007C59C6"/>
    <w:rsid w:val="007C5F23"/>
    <w:rsid w:val="007C62E2"/>
    <w:rsid w:val="007C6702"/>
    <w:rsid w:val="007C674D"/>
    <w:rsid w:val="007C69C9"/>
    <w:rsid w:val="007C6B85"/>
    <w:rsid w:val="007C6F0C"/>
    <w:rsid w:val="007C74A5"/>
    <w:rsid w:val="007C75AD"/>
    <w:rsid w:val="007C75F4"/>
    <w:rsid w:val="007C771C"/>
    <w:rsid w:val="007C7A09"/>
    <w:rsid w:val="007C7A1A"/>
    <w:rsid w:val="007C7AE7"/>
    <w:rsid w:val="007C7EAA"/>
    <w:rsid w:val="007C7F86"/>
    <w:rsid w:val="007D0352"/>
    <w:rsid w:val="007D06F7"/>
    <w:rsid w:val="007D0714"/>
    <w:rsid w:val="007D0836"/>
    <w:rsid w:val="007D0B90"/>
    <w:rsid w:val="007D0F1D"/>
    <w:rsid w:val="007D0F93"/>
    <w:rsid w:val="007D12D0"/>
    <w:rsid w:val="007D1388"/>
    <w:rsid w:val="007D13B9"/>
    <w:rsid w:val="007D142B"/>
    <w:rsid w:val="007D187F"/>
    <w:rsid w:val="007D18FD"/>
    <w:rsid w:val="007D1EA3"/>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1D"/>
    <w:rsid w:val="007D4AD7"/>
    <w:rsid w:val="007D4F6B"/>
    <w:rsid w:val="007D4FD6"/>
    <w:rsid w:val="007D5056"/>
    <w:rsid w:val="007D5111"/>
    <w:rsid w:val="007D51E5"/>
    <w:rsid w:val="007D5639"/>
    <w:rsid w:val="007D59A1"/>
    <w:rsid w:val="007D5BB5"/>
    <w:rsid w:val="007D5C0B"/>
    <w:rsid w:val="007D5E63"/>
    <w:rsid w:val="007D610B"/>
    <w:rsid w:val="007D62A6"/>
    <w:rsid w:val="007D6804"/>
    <w:rsid w:val="007D74EA"/>
    <w:rsid w:val="007D75B4"/>
    <w:rsid w:val="007D7937"/>
    <w:rsid w:val="007D7D45"/>
    <w:rsid w:val="007D7DE6"/>
    <w:rsid w:val="007D7EF4"/>
    <w:rsid w:val="007E0163"/>
    <w:rsid w:val="007E02F4"/>
    <w:rsid w:val="007E038C"/>
    <w:rsid w:val="007E0468"/>
    <w:rsid w:val="007E09DC"/>
    <w:rsid w:val="007E0F19"/>
    <w:rsid w:val="007E0FF0"/>
    <w:rsid w:val="007E11EF"/>
    <w:rsid w:val="007E1586"/>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9FD"/>
    <w:rsid w:val="007E3A54"/>
    <w:rsid w:val="007E3E0B"/>
    <w:rsid w:val="007E3FCF"/>
    <w:rsid w:val="007E508E"/>
    <w:rsid w:val="007E50A8"/>
    <w:rsid w:val="007E517A"/>
    <w:rsid w:val="007E5438"/>
    <w:rsid w:val="007E577B"/>
    <w:rsid w:val="007E57EA"/>
    <w:rsid w:val="007E5920"/>
    <w:rsid w:val="007E5B47"/>
    <w:rsid w:val="007E5DA1"/>
    <w:rsid w:val="007E5F2E"/>
    <w:rsid w:val="007E60FE"/>
    <w:rsid w:val="007E653B"/>
    <w:rsid w:val="007E6587"/>
    <w:rsid w:val="007E6670"/>
    <w:rsid w:val="007E6920"/>
    <w:rsid w:val="007E6AFD"/>
    <w:rsid w:val="007E6CC0"/>
    <w:rsid w:val="007E6D25"/>
    <w:rsid w:val="007E70B4"/>
    <w:rsid w:val="007E7176"/>
    <w:rsid w:val="007E72B1"/>
    <w:rsid w:val="007E73FB"/>
    <w:rsid w:val="007E76D5"/>
    <w:rsid w:val="007E7AC3"/>
    <w:rsid w:val="007E7CF2"/>
    <w:rsid w:val="007F01D0"/>
    <w:rsid w:val="007F04C6"/>
    <w:rsid w:val="007F0557"/>
    <w:rsid w:val="007F0C49"/>
    <w:rsid w:val="007F1697"/>
    <w:rsid w:val="007F1A8D"/>
    <w:rsid w:val="007F1D7B"/>
    <w:rsid w:val="007F23FB"/>
    <w:rsid w:val="007F2544"/>
    <w:rsid w:val="007F278C"/>
    <w:rsid w:val="007F287A"/>
    <w:rsid w:val="007F2B38"/>
    <w:rsid w:val="007F2E3F"/>
    <w:rsid w:val="007F33B4"/>
    <w:rsid w:val="007F340B"/>
    <w:rsid w:val="007F39D0"/>
    <w:rsid w:val="007F3B8D"/>
    <w:rsid w:val="007F40D3"/>
    <w:rsid w:val="007F437A"/>
    <w:rsid w:val="007F43CE"/>
    <w:rsid w:val="007F46C2"/>
    <w:rsid w:val="007F4862"/>
    <w:rsid w:val="007F4C99"/>
    <w:rsid w:val="007F52CF"/>
    <w:rsid w:val="007F5DF1"/>
    <w:rsid w:val="007F600A"/>
    <w:rsid w:val="007F65B5"/>
    <w:rsid w:val="007F68A6"/>
    <w:rsid w:val="007F69C0"/>
    <w:rsid w:val="007F6A66"/>
    <w:rsid w:val="007F6DCA"/>
    <w:rsid w:val="007F7307"/>
    <w:rsid w:val="007F7595"/>
    <w:rsid w:val="007F7829"/>
    <w:rsid w:val="007F78BD"/>
    <w:rsid w:val="007F78C2"/>
    <w:rsid w:val="007F79C7"/>
    <w:rsid w:val="007F7A71"/>
    <w:rsid w:val="007F7A96"/>
    <w:rsid w:val="007F7B6D"/>
    <w:rsid w:val="007F7FED"/>
    <w:rsid w:val="00800FE8"/>
    <w:rsid w:val="008014DB"/>
    <w:rsid w:val="008016BA"/>
    <w:rsid w:val="00801B5A"/>
    <w:rsid w:val="00801F86"/>
    <w:rsid w:val="008021FA"/>
    <w:rsid w:val="00802308"/>
    <w:rsid w:val="00802460"/>
    <w:rsid w:val="0080284E"/>
    <w:rsid w:val="0080294B"/>
    <w:rsid w:val="00802B2D"/>
    <w:rsid w:val="00802DB8"/>
    <w:rsid w:val="008032FD"/>
    <w:rsid w:val="0080346A"/>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C0C"/>
    <w:rsid w:val="00804C5D"/>
    <w:rsid w:val="00804E2F"/>
    <w:rsid w:val="00804E70"/>
    <w:rsid w:val="008053FC"/>
    <w:rsid w:val="0080540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578"/>
    <w:rsid w:val="00811720"/>
    <w:rsid w:val="00811E9C"/>
    <w:rsid w:val="008120B0"/>
    <w:rsid w:val="00812236"/>
    <w:rsid w:val="0081232C"/>
    <w:rsid w:val="00812683"/>
    <w:rsid w:val="00812B29"/>
    <w:rsid w:val="00812C53"/>
    <w:rsid w:val="008130FD"/>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41"/>
    <w:rsid w:val="00817BE3"/>
    <w:rsid w:val="008200BF"/>
    <w:rsid w:val="008201D6"/>
    <w:rsid w:val="00820251"/>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1D1E"/>
    <w:rsid w:val="008221E9"/>
    <w:rsid w:val="00822275"/>
    <w:rsid w:val="008223F9"/>
    <w:rsid w:val="00822583"/>
    <w:rsid w:val="00822CAA"/>
    <w:rsid w:val="00823470"/>
    <w:rsid w:val="008234AB"/>
    <w:rsid w:val="008234CE"/>
    <w:rsid w:val="00823740"/>
    <w:rsid w:val="00823836"/>
    <w:rsid w:val="00823894"/>
    <w:rsid w:val="00823A91"/>
    <w:rsid w:val="00823BEB"/>
    <w:rsid w:val="00824036"/>
    <w:rsid w:val="00824054"/>
    <w:rsid w:val="0082427E"/>
    <w:rsid w:val="00824A0E"/>
    <w:rsid w:val="00824B94"/>
    <w:rsid w:val="00824CA2"/>
    <w:rsid w:val="0082500D"/>
    <w:rsid w:val="008258C7"/>
    <w:rsid w:val="00825A44"/>
    <w:rsid w:val="00825AF6"/>
    <w:rsid w:val="00825CDE"/>
    <w:rsid w:val="00825D5B"/>
    <w:rsid w:val="00825FE6"/>
    <w:rsid w:val="00826234"/>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682"/>
    <w:rsid w:val="00830839"/>
    <w:rsid w:val="008308CD"/>
    <w:rsid w:val="008308D5"/>
    <w:rsid w:val="00830A6E"/>
    <w:rsid w:val="00831168"/>
    <w:rsid w:val="008314EB"/>
    <w:rsid w:val="00831814"/>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37E69"/>
    <w:rsid w:val="00840129"/>
    <w:rsid w:val="00840770"/>
    <w:rsid w:val="00841471"/>
    <w:rsid w:val="00841556"/>
    <w:rsid w:val="00841E18"/>
    <w:rsid w:val="0084217F"/>
    <w:rsid w:val="0084219C"/>
    <w:rsid w:val="00842243"/>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A86"/>
    <w:rsid w:val="00844FBC"/>
    <w:rsid w:val="0084535A"/>
    <w:rsid w:val="00845519"/>
    <w:rsid w:val="00845617"/>
    <w:rsid w:val="008459DD"/>
    <w:rsid w:val="00845A70"/>
    <w:rsid w:val="00845BBE"/>
    <w:rsid w:val="00845D01"/>
    <w:rsid w:val="00845DC6"/>
    <w:rsid w:val="00845FEF"/>
    <w:rsid w:val="00846155"/>
    <w:rsid w:val="00846198"/>
    <w:rsid w:val="0084640F"/>
    <w:rsid w:val="008464BD"/>
    <w:rsid w:val="00846C3F"/>
    <w:rsid w:val="00846CD5"/>
    <w:rsid w:val="0084717B"/>
    <w:rsid w:val="008471EB"/>
    <w:rsid w:val="008474B1"/>
    <w:rsid w:val="0084754C"/>
    <w:rsid w:val="008478A3"/>
    <w:rsid w:val="00847E64"/>
    <w:rsid w:val="00850012"/>
    <w:rsid w:val="00850283"/>
    <w:rsid w:val="008502EF"/>
    <w:rsid w:val="00850913"/>
    <w:rsid w:val="00850B8B"/>
    <w:rsid w:val="00850C7F"/>
    <w:rsid w:val="00851434"/>
    <w:rsid w:val="00851643"/>
    <w:rsid w:val="00851772"/>
    <w:rsid w:val="00851787"/>
    <w:rsid w:val="00851888"/>
    <w:rsid w:val="00851B0D"/>
    <w:rsid w:val="008527E6"/>
    <w:rsid w:val="0085297C"/>
    <w:rsid w:val="0085297F"/>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FBD"/>
    <w:rsid w:val="0085529A"/>
    <w:rsid w:val="00855416"/>
    <w:rsid w:val="00855BDB"/>
    <w:rsid w:val="00855EB5"/>
    <w:rsid w:val="008560E3"/>
    <w:rsid w:val="00856192"/>
    <w:rsid w:val="00856469"/>
    <w:rsid w:val="008570EF"/>
    <w:rsid w:val="00857199"/>
    <w:rsid w:val="008573D8"/>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85B"/>
    <w:rsid w:val="00863BFE"/>
    <w:rsid w:val="00863C51"/>
    <w:rsid w:val="00863CD2"/>
    <w:rsid w:val="0086437C"/>
    <w:rsid w:val="008643FC"/>
    <w:rsid w:val="008650FE"/>
    <w:rsid w:val="0086544A"/>
    <w:rsid w:val="00865636"/>
    <w:rsid w:val="0086563B"/>
    <w:rsid w:val="0086574F"/>
    <w:rsid w:val="00865C40"/>
    <w:rsid w:val="00865C89"/>
    <w:rsid w:val="00865D59"/>
    <w:rsid w:val="008661FE"/>
    <w:rsid w:val="0086638B"/>
    <w:rsid w:val="008668F4"/>
    <w:rsid w:val="00866A05"/>
    <w:rsid w:val="00866A6B"/>
    <w:rsid w:val="00866D25"/>
    <w:rsid w:val="00866F25"/>
    <w:rsid w:val="008670AD"/>
    <w:rsid w:val="008673E6"/>
    <w:rsid w:val="0086750F"/>
    <w:rsid w:val="0086761C"/>
    <w:rsid w:val="0086777F"/>
    <w:rsid w:val="00867DF7"/>
    <w:rsid w:val="008709A3"/>
    <w:rsid w:val="00870B7E"/>
    <w:rsid w:val="00870DF6"/>
    <w:rsid w:val="00870EFB"/>
    <w:rsid w:val="00871346"/>
    <w:rsid w:val="008717E9"/>
    <w:rsid w:val="00872217"/>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6F2"/>
    <w:rsid w:val="00885B63"/>
    <w:rsid w:val="00885F4C"/>
    <w:rsid w:val="00886AD3"/>
    <w:rsid w:val="00887321"/>
    <w:rsid w:val="008873F8"/>
    <w:rsid w:val="0088746A"/>
    <w:rsid w:val="00887690"/>
    <w:rsid w:val="00887793"/>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6A6F"/>
    <w:rsid w:val="0089720D"/>
    <w:rsid w:val="00897269"/>
    <w:rsid w:val="00897492"/>
    <w:rsid w:val="008977B8"/>
    <w:rsid w:val="00897AB7"/>
    <w:rsid w:val="00897C7F"/>
    <w:rsid w:val="00897E96"/>
    <w:rsid w:val="008A016D"/>
    <w:rsid w:val="008A020E"/>
    <w:rsid w:val="008A032D"/>
    <w:rsid w:val="008A0419"/>
    <w:rsid w:val="008A0627"/>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AB5"/>
    <w:rsid w:val="008A4239"/>
    <w:rsid w:val="008A4797"/>
    <w:rsid w:val="008A4A34"/>
    <w:rsid w:val="008A4CDD"/>
    <w:rsid w:val="008A502C"/>
    <w:rsid w:val="008A51B1"/>
    <w:rsid w:val="008A51C1"/>
    <w:rsid w:val="008A53E3"/>
    <w:rsid w:val="008A5479"/>
    <w:rsid w:val="008A576C"/>
    <w:rsid w:val="008A5BE6"/>
    <w:rsid w:val="008A5DD1"/>
    <w:rsid w:val="008A5E89"/>
    <w:rsid w:val="008A6773"/>
    <w:rsid w:val="008A6B65"/>
    <w:rsid w:val="008A777C"/>
    <w:rsid w:val="008A77C5"/>
    <w:rsid w:val="008A787F"/>
    <w:rsid w:val="008A79F7"/>
    <w:rsid w:val="008A7CB5"/>
    <w:rsid w:val="008A7ED0"/>
    <w:rsid w:val="008B0135"/>
    <w:rsid w:val="008B0270"/>
    <w:rsid w:val="008B05D0"/>
    <w:rsid w:val="008B066E"/>
    <w:rsid w:val="008B0868"/>
    <w:rsid w:val="008B1213"/>
    <w:rsid w:val="008B13DB"/>
    <w:rsid w:val="008B14B2"/>
    <w:rsid w:val="008B199C"/>
    <w:rsid w:val="008B1AC0"/>
    <w:rsid w:val="008B1D59"/>
    <w:rsid w:val="008B1E8B"/>
    <w:rsid w:val="008B21F4"/>
    <w:rsid w:val="008B222E"/>
    <w:rsid w:val="008B2445"/>
    <w:rsid w:val="008B2491"/>
    <w:rsid w:val="008B25FC"/>
    <w:rsid w:val="008B26CE"/>
    <w:rsid w:val="008B2711"/>
    <w:rsid w:val="008B307D"/>
    <w:rsid w:val="008B3550"/>
    <w:rsid w:val="008B3A2E"/>
    <w:rsid w:val="008B3CCD"/>
    <w:rsid w:val="008B3E53"/>
    <w:rsid w:val="008B3F89"/>
    <w:rsid w:val="008B4F77"/>
    <w:rsid w:val="008B55D3"/>
    <w:rsid w:val="008B598D"/>
    <w:rsid w:val="008B60EE"/>
    <w:rsid w:val="008B747E"/>
    <w:rsid w:val="008B7589"/>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C7"/>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B59"/>
    <w:rsid w:val="008C4D33"/>
    <w:rsid w:val="008C50E1"/>
    <w:rsid w:val="008C52E8"/>
    <w:rsid w:val="008C5CD0"/>
    <w:rsid w:val="008C5D8F"/>
    <w:rsid w:val="008C5E20"/>
    <w:rsid w:val="008C60E1"/>
    <w:rsid w:val="008C6224"/>
    <w:rsid w:val="008C63EC"/>
    <w:rsid w:val="008C6612"/>
    <w:rsid w:val="008C6806"/>
    <w:rsid w:val="008C68D7"/>
    <w:rsid w:val="008C6B90"/>
    <w:rsid w:val="008C6EC4"/>
    <w:rsid w:val="008C767E"/>
    <w:rsid w:val="008C7949"/>
    <w:rsid w:val="008C7D2E"/>
    <w:rsid w:val="008C7E6C"/>
    <w:rsid w:val="008C7F8B"/>
    <w:rsid w:val="008C7FDC"/>
    <w:rsid w:val="008D034A"/>
    <w:rsid w:val="008D0628"/>
    <w:rsid w:val="008D0F9D"/>
    <w:rsid w:val="008D1350"/>
    <w:rsid w:val="008D1966"/>
    <w:rsid w:val="008D19EF"/>
    <w:rsid w:val="008D1A33"/>
    <w:rsid w:val="008D1B73"/>
    <w:rsid w:val="008D1ED5"/>
    <w:rsid w:val="008D1F6B"/>
    <w:rsid w:val="008D202E"/>
    <w:rsid w:val="008D2295"/>
    <w:rsid w:val="008D2422"/>
    <w:rsid w:val="008D2738"/>
    <w:rsid w:val="008D28DD"/>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A4D"/>
    <w:rsid w:val="008D5E94"/>
    <w:rsid w:val="008D61EA"/>
    <w:rsid w:val="008D6BB8"/>
    <w:rsid w:val="008D6CD9"/>
    <w:rsid w:val="008D70A5"/>
    <w:rsid w:val="008D720B"/>
    <w:rsid w:val="008D7351"/>
    <w:rsid w:val="008D7495"/>
    <w:rsid w:val="008D774A"/>
    <w:rsid w:val="008D7A5B"/>
    <w:rsid w:val="008E028B"/>
    <w:rsid w:val="008E0911"/>
    <w:rsid w:val="008E0A19"/>
    <w:rsid w:val="008E0CFD"/>
    <w:rsid w:val="008E1265"/>
    <w:rsid w:val="008E139F"/>
    <w:rsid w:val="008E1547"/>
    <w:rsid w:val="008E1644"/>
    <w:rsid w:val="008E1AAD"/>
    <w:rsid w:val="008E1D72"/>
    <w:rsid w:val="008E1D93"/>
    <w:rsid w:val="008E1F12"/>
    <w:rsid w:val="008E2149"/>
    <w:rsid w:val="008E2545"/>
    <w:rsid w:val="008E2EB9"/>
    <w:rsid w:val="008E33BB"/>
    <w:rsid w:val="008E3401"/>
    <w:rsid w:val="008E3483"/>
    <w:rsid w:val="008E3714"/>
    <w:rsid w:val="008E3970"/>
    <w:rsid w:val="008E3B54"/>
    <w:rsid w:val="008E3BE4"/>
    <w:rsid w:val="008E3C19"/>
    <w:rsid w:val="008E3D15"/>
    <w:rsid w:val="008E3F9B"/>
    <w:rsid w:val="008E46AB"/>
    <w:rsid w:val="008E49A1"/>
    <w:rsid w:val="008E4BC7"/>
    <w:rsid w:val="008E4BCB"/>
    <w:rsid w:val="008E4DF1"/>
    <w:rsid w:val="008E52D1"/>
    <w:rsid w:val="008E547F"/>
    <w:rsid w:val="008E5595"/>
    <w:rsid w:val="008E56FD"/>
    <w:rsid w:val="008E5F30"/>
    <w:rsid w:val="008E624A"/>
    <w:rsid w:val="008E6317"/>
    <w:rsid w:val="008E6EC8"/>
    <w:rsid w:val="008E70FF"/>
    <w:rsid w:val="008E7A1F"/>
    <w:rsid w:val="008F0185"/>
    <w:rsid w:val="008F0589"/>
    <w:rsid w:val="008F05D4"/>
    <w:rsid w:val="008F0711"/>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85D"/>
    <w:rsid w:val="008F6C69"/>
    <w:rsid w:val="008F72BC"/>
    <w:rsid w:val="008F76CF"/>
    <w:rsid w:val="008F7B60"/>
    <w:rsid w:val="008F7F46"/>
    <w:rsid w:val="009005CE"/>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AB3"/>
    <w:rsid w:val="00906C60"/>
    <w:rsid w:val="00906E77"/>
    <w:rsid w:val="00907286"/>
    <w:rsid w:val="0090736B"/>
    <w:rsid w:val="00907391"/>
    <w:rsid w:val="0090740A"/>
    <w:rsid w:val="00907658"/>
    <w:rsid w:val="00907848"/>
    <w:rsid w:val="009079A9"/>
    <w:rsid w:val="00907AD1"/>
    <w:rsid w:val="00907CAB"/>
    <w:rsid w:val="00907F12"/>
    <w:rsid w:val="00910336"/>
    <w:rsid w:val="009107AC"/>
    <w:rsid w:val="00910810"/>
    <w:rsid w:val="00910DC1"/>
    <w:rsid w:val="00910DE4"/>
    <w:rsid w:val="0091115E"/>
    <w:rsid w:val="00911435"/>
    <w:rsid w:val="009114E9"/>
    <w:rsid w:val="009118F2"/>
    <w:rsid w:val="009119B0"/>
    <w:rsid w:val="009127BF"/>
    <w:rsid w:val="00912AC3"/>
    <w:rsid w:val="00912DD5"/>
    <w:rsid w:val="0091323B"/>
    <w:rsid w:val="009134E3"/>
    <w:rsid w:val="00913744"/>
    <w:rsid w:val="009137EA"/>
    <w:rsid w:val="00913D8D"/>
    <w:rsid w:val="00913F22"/>
    <w:rsid w:val="00913F97"/>
    <w:rsid w:val="00913FFF"/>
    <w:rsid w:val="00914275"/>
    <w:rsid w:val="00914621"/>
    <w:rsid w:val="0091477A"/>
    <w:rsid w:val="009147BF"/>
    <w:rsid w:val="0091481D"/>
    <w:rsid w:val="00915273"/>
    <w:rsid w:val="009153E0"/>
    <w:rsid w:val="0091547B"/>
    <w:rsid w:val="00915724"/>
    <w:rsid w:val="00916069"/>
    <w:rsid w:val="009161FA"/>
    <w:rsid w:val="00916656"/>
    <w:rsid w:val="009167D5"/>
    <w:rsid w:val="009167E6"/>
    <w:rsid w:val="00916AEF"/>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459"/>
    <w:rsid w:val="00922887"/>
    <w:rsid w:val="00922973"/>
    <w:rsid w:val="00922AA9"/>
    <w:rsid w:val="00922F06"/>
    <w:rsid w:val="00923623"/>
    <w:rsid w:val="0092377F"/>
    <w:rsid w:val="00923827"/>
    <w:rsid w:val="00923CA7"/>
    <w:rsid w:val="00923FBF"/>
    <w:rsid w:val="0092433B"/>
    <w:rsid w:val="00924789"/>
    <w:rsid w:val="00924CFC"/>
    <w:rsid w:val="009250F5"/>
    <w:rsid w:val="00925110"/>
    <w:rsid w:val="009251BA"/>
    <w:rsid w:val="009252EE"/>
    <w:rsid w:val="009253EC"/>
    <w:rsid w:val="00925E44"/>
    <w:rsid w:val="009261D4"/>
    <w:rsid w:val="0092637A"/>
    <w:rsid w:val="00926401"/>
    <w:rsid w:val="00926955"/>
    <w:rsid w:val="0092739F"/>
    <w:rsid w:val="00927817"/>
    <w:rsid w:val="0092781F"/>
    <w:rsid w:val="00927869"/>
    <w:rsid w:val="009279D2"/>
    <w:rsid w:val="0093007C"/>
    <w:rsid w:val="0093016F"/>
    <w:rsid w:val="00930388"/>
    <w:rsid w:val="00930549"/>
    <w:rsid w:val="00930DF7"/>
    <w:rsid w:val="00930F17"/>
    <w:rsid w:val="00931BC8"/>
    <w:rsid w:val="00931C72"/>
    <w:rsid w:val="00931F0A"/>
    <w:rsid w:val="0093232B"/>
    <w:rsid w:val="009323D9"/>
    <w:rsid w:val="009327E6"/>
    <w:rsid w:val="0093295C"/>
    <w:rsid w:val="009329C6"/>
    <w:rsid w:val="00932A1B"/>
    <w:rsid w:val="00932C1D"/>
    <w:rsid w:val="00932EAD"/>
    <w:rsid w:val="009330F9"/>
    <w:rsid w:val="009331B9"/>
    <w:rsid w:val="0093330A"/>
    <w:rsid w:val="009334C3"/>
    <w:rsid w:val="00933689"/>
    <w:rsid w:val="00933BAB"/>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219"/>
    <w:rsid w:val="00941312"/>
    <w:rsid w:val="009413D2"/>
    <w:rsid w:val="0094141A"/>
    <w:rsid w:val="0094149E"/>
    <w:rsid w:val="0094156C"/>
    <w:rsid w:val="009416D0"/>
    <w:rsid w:val="00941AE7"/>
    <w:rsid w:val="00941B15"/>
    <w:rsid w:val="00941E48"/>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D97"/>
    <w:rsid w:val="0094566B"/>
    <w:rsid w:val="00945A40"/>
    <w:rsid w:val="00945F89"/>
    <w:rsid w:val="009460D0"/>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A1E"/>
    <w:rsid w:val="00951F15"/>
    <w:rsid w:val="009525E0"/>
    <w:rsid w:val="0095265C"/>
    <w:rsid w:val="009535A5"/>
    <w:rsid w:val="009538F2"/>
    <w:rsid w:val="009539B4"/>
    <w:rsid w:val="00953A1A"/>
    <w:rsid w:val="00953AE7"/>
    <w:rsid w:val="00953D94"/>
    <w:rsid w:val="009540DD"/>
    <w:rsid w:val="009542D9"/>
    <w:rsid w:val="00954464"/>
    <w:rsid w:val="00954757"/>
    <w:rsid w:val="009547BB"/>
    <w:rsid w:val="009549CD"/>
    <w:rsid w:val="00954B8C"/>
    <w:rsid w:val="00954CC4"/>
    <w:rsid w:val="00954FC4"/>
    <w:rsid w:val="00955505"/>
    <w:rsid w:val="0095568A"/>
    <w:rsid w:val="00955853"/>
    <w:rsid w:val="00955C07"/>
    <w:rsid w:val="00955C90"/>
    <w:rsid w:val="00955F94"/>
    <w:rsid w:val="009563F2"/>
    <w:rsid w:val="009565E4"/>
    <w:rsid w:val="00956615"/>
    <w:rsid w:val="009567C7"/>
    <w:rsid w:val="009569D2"/>
    <w:rsid w:val="00956AA3"/>
    <w:rsid w:val="00956B8A"/>
    <w:rsid w:val="00956E5F"/>
    <w:rsid w:val="00957087"/>
    <w:rsid w:val="0095722D"/>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026"/>
    <w:rsid w:val="00963220"/>
    <w:rsid w:val="00963529"/>
    <w:rsid w:val="00963716"/>
    <w:rsid w:val="00963769"/>
    <w:rsid w:val="0096382D"/>
    <w:rsid w:val="00963E07"/>
    <w:rsid w:val="00963FF2"/>
    <w:rsid w:val="0096401E"/>
    <w:rsid w:val="00964097"/>
    <w:rsid w:val="009640E7"/>
    <w:rsid w:val="0096435C"/>
    <w:rsid w:val="009644BC"/>
    <w:rsid w:val="00964801"/>
    <w:rsid w:val="00964BAC"/>
    <w:rsid w:val="00964E1A"/>
    <w:rsid w:val="00965786"/>
    <w:rsid w:val="0096585C"/>
    <w:rsid w:val="00965DA0"/>
    <w:rsid w:val="00965DB4"/>
    <w:rsid w:val="00965DE5"/>
    <w:rsid w:val="00965E34"/>
    <w:rsid w:val="00966021"/>
    <w:rsid w:val="009662D5"/>
    <w:rsid w:val="00966346"/>
    <w:rsid w:val="00966944"/>
    <w:rsid w:val="00966E61"/>
    <w:rsid w:val="00966F25"/>
    <w:rsid w:val="009675F7"/>
    <w:rsid w:val="00967981"/>
    <w:rsid w:val="009679EF"/>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E4C"/>
    <w:rsid w:val="00971F3E"/>
    <w:rsid w:val="00972A9C"/>
    <w:rsid w:val="00972CA3"/>
    <w:rsid w:val="00972D17"/>
    <w:rsid w:val="00972E8E"/>
    <w:rsid w:val="00973001"/>
    <w:rsid w:val="009730ED"/>
    <w:rsid w:val="00973676"/>
    <w:rsid w:val="00973CDD"/>
    <w:rsid w:val="00973D5F"/>
    <w:rsid w:val="00973F34"/>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D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099"/>
    <w:rsid w:val="0098150B"/>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A85"/>
    <w:rsid w:val="00986C69"/>
    <w:rsid w:val="00986E79"/>
    <w:rsid w:val="00986FF7"/>
    <w:rsid w:val="00987220"/>
    <w:rsid w:val="00987273"/>
    <w:rsid w:val="009877D2"/>
    <w:rsid w:val="00987A40"/>
    <w:rsid w:val="00990033"/>
    <w:rsid w:val="0099039B"/>
    <w:rsid w:val="009904C6"/>
    <w:rsid w:val="00990659"/>
    <w:rsid w:val="009908EA"/>
    <w:rsid w:val="00991196"/>
    <w:rsid w:val="0099133D"/>
    <w:rsid w:val="0099133F"/>
    <w:rsid w:val="00991503"/>
    <w:rsid w:val="0099157F"/>
    <w:rsid w:val="0099160E"/>
    <w:rsid w:val="00991857"/>
    <w:rsid w:val="009923F0"/>
    <w:rsid w:val="009925D6"/>
    <w:rsid w:val="009926A7"/>
    <w:rsid w:val="00992906"/>
    <w:rsid w:val="00992AE6"/>
    <w:rsid w:val="00992FE5"/>
    <w:rsid w:val="009931B9"/>
    <w:rsid w:val="00993249"/>
    <w:rsid w:val="00993389"/>
    <w:rsid w:val="00993DD2"/>
    <w:rsid w:val="00993E62"/>
    <w:rsid w:val="00993EBD"/>
    <w:rsid w:val="009947C2"/>
    <w:rsid w:val="009947EA"/>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A8"/>
    <w:rsid w:val="009A0292"/>
    <w:rsid w:val="009A0311"/>
    <w:rsid w:val="009A052C"/>
    <w:rsid w:val="009A080D"/>
    <w:rsid w:val="009A0859"/>
    <w:rsid w:val="009A0B90"/>
    <w:rsid w:val="009A0DCF"/>
    <w:rsid w:val="009A152E"/>
    <w:rsid w:val="009A1981"/>
    <w:rsid w:val="009A19BF"/>
    <w:rsid w:val="009A1D70"/>
    <w:rsid w:val="009A1DB5"/>
    <w:rsid w:val="009A1E49"/>
    <w:rsid w:val="009A211D"/>
    <w:rsid w:val="009A23C6"/>
    <w:rsid w:val="009A25A6"/>
    <w:rsid w:val="009A2612"/>
    <w:rsid w:val="009A2DF0"/>
    <w:rsid w:val="009A2FA3"/>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466"/>
    <w:rsid w:val="009B0780"/>
    <w:rsid w:val="009B0892"/>
    <w:rsid w:val="009B0D59"/>
    <w:rsid w:val="009B152D"/>
    <w:rsid w:val="009B16B1"/>
    <w:rsid w:val="009B1883"/>
    <w:rsid w:val="009B19A3"/>
    <w:rsid w:val="009B1FB9"/>
    <w:rsid w:val="009B1FDE"/>
    <w:rsid w:val="009B2106"/>
    <w:rsid w:val="009B22B0"/>
    <w:rsid w:val="009B250C"/>
    <w:rsid w:val="009B2A07"/>
    <w:rsid w:val="009B2E5E"/>
    <w:rsid w:val="009B3287"/>
    <w:rsid w:val="009B330C"/>
    <w:rsid w:val="009B33E5"/>
    <w:rsid w:val="009B3429"/>
    <w:rsid w:val="009B36F8"/>
    <w:rsid w:val="009B39CE"/>
    <w:rsid w:val="009B3ABB"/>
    <w:rsid w:val="009B3D6E"/>
    <w:rsid w:val="009B3F32"/>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988"/>
    <w:rsid w:val="009C1AD2"/>
    <w:rsid w:val="009C1AFE"/>
    <w:rsid w:val="009C1D07"/>
    <w:rsid w:val="009C20A0"/>
    <w:rsid w:val="009C20A8"/>
    <w:rsid w:val="009C2308"/>
    <w:rsid w:val="009C2392"/>
    <w:rsid w:val="009C3E92"/>
    <w:rsid w:val="009C4418"/>
    <w:rsid w:val="009C4627"/>
    <w:rsid w:val="009C47EE"/>
    <w:rsid w:val="009C4830"/>
    <w:rsid w:val="009C484D"/>
    <w:rsid w:val="009C4D3E"/>
    <w:rsid w:val="009C4F13"/>
    <w:rsid w:val="009C505E"/>
    <w:rsid w:val="009C5198"/>
    <w:rsid w:val="009C5571"/>
    <w:rsid w:val="009C5820"/>
    <w:rsid w:val="009C5A65"/>
    <w:rsid w:val="009C5AA2"/>
    <w:rsid w:val="009C5DC6"/>
    <w:rsid w:val="009C639B"/>
    <w:rsid w:val="009C6437"/>
    <w:rsid w:val="009C644F"/>
    <w:rsid w:val="009C6AED"/>
    <w:rsid w:val="009C6B2D"/>
    <w:rsid w:val="009C6DF8"/>
    <w:rsid w:val="009C6F48"/>
    <w:rsid w:val="009C6FC0"/>
    <w:rsid w:val="009C7093"/>
    <w:rsid w:val="009C7475"/>
    <w:rsid w:val="009C7A1F"/>
    <w:rsid w:val="009C7EBB"/>
    <w:rsid w:val="009C7F0A"/>
    <w:rsid w:val="009D0011"/>
    <w:rsid w:val="009D006A"/>
    <w:rsid w:val="009D01F6"/>
    <w:rsid w:val="009D035D"/>
    <w:rsid w:val="009D0BE4"/>
    <w:rsid w:val="009D0DF9"/>
    <w:rsid w:val="009D18EC"/>
    <w:rsid w:val="009D19AB"/>
    <w:rsid w:val="009D1D68"/>
    <w:rsid w:val="009D1E49"/>
    <w:rsid w:val="009D205F"/>
    <w:rsid w:val="009D221D"/>
    <w:rsid w:val="009D26F9"/>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6E26"/>
    <w:rsid w:val="009D718F"/>
    <w:rsid w:val="009D72FD"/>
    <w:rsid w:val="009D7436"/>
    <w:rsid w:val="009D7781"/>
    <w:rsid w:val="009D7787"/>
    <w:rsid w:val="009D78BF"/>
    <w:rsid w:val="009D7988"/>
    <w:rsid w:val="009D7A32"/>
    <w:rsid w:val="009D7BF9"/>
    <w:rsid w:val="009D7D7D"/>
    <w:rsid w:val="009D7F2C"/>
    <w:rsid w:val="009E03C3"/>
    <w:rsid w:val="009E0515"/>
    <w:rsid w:val="009E07BC"/>
    <w:rsid w:val="009E07F7"/>
    <w:rsid w:val="009E084C"/>
    <w:rsid w:val="009E0A44"/>
    <w:rsid w:val="009E0B12"/>
    <w:rsid w:val="009E0D23"/>
    <w:rsid w:val="009E0E29"/>
    <w:rsid w:val="009E10D1"/>
    <w:rsid w:val="009E1152"/>
    <w:rsid w:val="009E16E9"/>
    <w:rsid w:val="009E1846"/>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AA3"/>
    <w:rsid w:val="009E3BC0"/>
    <w:rsid w:val="009E3FC5"/>
    <w:rsid w:val="009E454F"/>
    <w:rsid w:val="009E475A"/>
    <w:rsid w:val="009E48D7"/>
    <w:rsid w:val="009E4966"/>
    <w:rsid w:val="009E4C19"/>
    <w:rsid w:val="009E4D50"/>
    <w:rsid w:val="009E4F13"/>
    <w:rsid w:val="009E4FA3"/>
    <w:rsid w:val="009E519A"/>
    <w:rsid w:val="009E5266"/>
    <w:rsid w:val="009E54F7"/>
    <w:rsid w:val="009E57AD"/>
    <w:rsid w:val="009E5DB7"/>
    <w:rsid w:val="009E634B"/>
    <w:rsid w:val="009E66E9"/>
    <w:rsid w:val="009E6763"/>
    <w:rsid w:val="009E6EA1"/>
    <w:rsid w:val="009E74AE"/>
    <w:rsid w:val="009E773E"/>
    <w:rsid w:val="009E7ADE"/>
    <w:rsid w:val="009E7F9E"/>
    <w:rsid w:val="009F0200"/>
    <w:rsid w:val="009F0316"/>
    <w:rsid w:val="009F03EB"/>
    <w:rsid w:val="009F04D1"/>
    <w:rsid w:val="009F0593"/>
    <w:rsid w:val="009F0753"/>
    <w:rsid w:val="009F0844"/>
    <w:rsid w:val="009F0D97"/>
    <w:rsid w:val="009F114D"/>
    <w:rsid w:val="009F13D0"/>
    <w:rsid w:val="009F1585"/>
    <w:rsid w:val="009F1992"/>
    <w:rsid w:val="009F1D9D"/>
    <w:rsid w:val="009F1DF0"/>
    <w:rsid w:val="009F1F72"/>
    <w:rsid w:val="009F22D8"/>
    <w:rsid w:val="009F233E"/>
    <w:rsid w:val="009F2430"/>
    <w:rsid w:val="009F2D1A"/>
    <w:rsid w:val="009F2D4B"/>
    <w:rsid w:val="009F2D5C"/>
    <w:rsid w:val="009F2E39"/>
    <w:rsid w:val="009F302D"/>
    <w:rsid w:val="009F30E4"/>
    <w:rsid w:val="009F324B"/>
    <w:rsid w:val="009F3AA4"/>
    <w:rsid w:val="009F3D69"/>
    <w:rsid w:val="009F3E66"/>
    <w:rsid w:val="009F40E6"/>
    <w:rsid w:val="009F41C8"/>
    <w:rsid w:val="009F433D"/>
    <w:rsid w:val="009F43D6"/>
    <w:rsid w:val="009F47DB"/>
    <w:rsid w:val="009F5C0D"/>
    <w:rsid w:val="009F5FFD"/>
    <w:rsid w:val="009F60E6"/>
    <w:rsid w:val="009F622C"/>
    <w:rsid w:val="009F624A"/>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2967"/>
    <w:rsid w:val="00A03061"/>
    <w:rsid w:val="00A0356E"/>
    <w:rsid w:val="00A0369F"/>
    <w:rsid w:val="00A0375B"/>
    <w:rsid w:val="00A03EE0"/>
    <w:rsid w:val="00A041DA"/>
    <w:rsid w:val="00A0421F"/>
    <w:rsid w:val="00A047A8"/>
    <w:rsid w:val="00A04846"/>
    <w:rsid w:val="00A04ADB"/>
    <w:rsid w:val="00A04B8F"/>
    <w:rsid w:val="00A04C03"/>
    <w:rsid w:val="00A04C15"/>
    <w:rsid w:val="00A04E3D"/>
    <w:rsid w:val="00A053A3"/>
    <w:rsid w:val="00A05723"/>
    <w:rsid w:val="00A059A2"/>
    <w:rsid w:val="00A05B7C"/>
    <w:rsid w:val="00A05D49"/>
    <w:rsid w:val="00A061BD"/>
    <w:rsid w:val="00A0620B"/>
    <w:rsid w:val="00A065D7"/>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BBD"/>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740"/>
    <w:rsid w:val="00A158EE"/>
    <w:rsid w:val="00A15A13"/>
    <w:rsid w:val="00A15CCB"/>
    <w:rsid w:val="00A15FF6"/>
    <w:rsid w:val="00A16371"/>
    <w:rsid w:val="00A168E0"/>
    <w:rsid w:val="00A16A40"/>
    <w:rsid w:val="00A16A84"/>
    <w:rsid w:val="00A16AAD"/>
    <w:rsid w:val="00A16B15"/>
    <w:rsid w:val="00A16B2D"/>
    <w:rsid w:val="00A16B59"/>
    <w:rsid w:val="00A16B65"/>
    <w:rsid w:val="00A16E10"/>
    <w:rsid w:val="00A1706C"/>
    <w:rsid w:val="00A174D2"/>
    <w:rsid w:val="00A1789D"/>
    <w:rsid w:val="00A17C1C"/>
    <w:rsid w:val="00A17CFC"/>
    <w:rsid w:val="00A17E79"/>
    <w:rsid w:val="00A202F2"/>
    <w:rsid w:val="00A203BB"/>
    <w:rsid w:val="00A203E4"/>
    <w:rsid w:val="00A205B9"/>
    <w:rsid w:val="00A206D6"/>
    <w:rsid w:val="00A2085D"/>
    <w:rsid w:val="00A20D22"/>
    <w:rsid w:val="00A20D50"/>
    <w:rsid w:val="00A20F70"/>
    <w:rsid w:val="00A2122A"/>
    <w:rsid w:val="00A213D9"/>
    <w:rsid w:val="00A2142C"/>
    <w:rsid w:val="00A21533"/>
    <w:rsid w:val="00A21613"/>
    <w:rsid w:val="00A21923"/>
    <w:rsid w:val="00A21AB6"/>
    <w:rsid w:val="00A21CC2"/>
    <w:rsid w:val="00A21D25"/>
    <w:rsid w:val="00A21D5A"/>
    <w:rsid w:val="00A21FD8"/>
    <w:rsid w:val="00A2206D"/>
    <w:rsid w:val="00A22174"/>
    <w:rsid w:val="00A22BB4"/>
    <w:rsid w:val="00A22E85"/>
    <w:rsid w:val="00A23060"/>
    <w:rsid w:val="00A231E0"/>
    <w:rsid w:val="00A232DA"/>
    <w:rsid w:val="00A23630"/>
    <w:rsid w:val="00A23778"/>
    <w:rsid w:val="00A238FA"/>
    <w:rsid w:val="00A2394E"/>
    <w:rsid w:val="00A23CAC"/>
    <w:rsid w:val="00A23FD5"/>
    <w:rsid w:val="00A241CE"/>
    <w:rsid w:val="00A24398"/>
    <w:rsid w:val="00A243E4"/>
    <w:rsid w:val="00A2442E"/>
    <w:rsid w:val="00A24AAE"/>
    <w:rsid w:val="00A25078"/>
    <w:rsid w:val="00A2535A"/>
    <w:rsid w:val="00A2537D"/>
    <w:rsid w:val="00A258D8"/>
    <w:rsid w:val="00A25A3A"/>
    <w:rsid w:val="00A261F8"/>
    <w:rsid w:val="00A262EA"/>
    <w:rsid w:val="00A2695E"/>
    <w:rsid w:val="00A26BCD"/>
    <w:rsid w:val="00A26C3E"/>
    <w:rsid w:val="00A26D8E"/>
    <w:rsid w:val="00A26E6D"/>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D6"/>
    <w:rsid w:val="00A31EA1"/>
    <w:rsid w:val="00A31F84"/>
    <w:rsid w:val="00A3242D"/>
    <w:rsid w:val="00A32550"/>
    <w:rsid w:val="00A32620"/>
    <w:rsid w:val="00A329A5"/>
    <w:rsid w:val="00A32AB3"/>
    <w:rsid w:val="00A33593"/>
    <w:rsid w:val="00A335AD"/>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07C"/>
    <w:rsid w:val="00A37269"/>
    <w:rsid w:val="00A37428"/>
    <w:rsid w:val="00A37A16"/>
    <w:rsid w:val="00A37BA0"/>
    <w:rsid w:val="00A37D7D"/>
    <w:rsid w:val="00A37DED"/>
    <w:rsid w:val="00A40335"/>
    <w:rsid w:val="00A403C8"/>
    <w:rsid w:val="00A404BC"/>
    <w:rsid w:val="00A40567"/>
    <w:rsid w:val="00A40591"/>
    <w:rsid w:val="00A406FD"/>
    <w:rsid w:val="00A4089D"/>
    <w:rsid w:val="00A412DA"/>
    <w:rsid w:val="00A41453"/>
    <w:rsid w:val="00A416DE"/>
    <w:rsid w:val="00A41AAF"/>
    <w:rsid w:val="00A41F90"/>
    <w:rsid w:val="00A42124"/>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79C"/>
    <w:rsid w:val="00A45D56"/>
    <w:rsid w:val="00A45F24"/>
    <w:rsid w:val="00A4633A"/>
    <w:rsid w:val="00A4660F"/>
    <w:rsid w:val="00A46838"/>
    <w:rsid w:val="00A46B9E"/>
    <w:rsid w:val="00A46C7B"/>
    <w:rsid w:val="00A47129"/>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6C"/>
    <w:rsid w:val="00A54BF8"/>
    <w:rsid w:val="00A54E2F"/>
    <w:rsid w:val="00A54FC1"/>
    <w:rsid w:val="00A55163"/>
    <w:rsid w:val="00A55169"/>
    <w:rsid w:val="00A55376"/>
    <w:rsid w:val="00A553DB"/>
    <w:rsid w:val="00A554D8"/>
    <w:rsid w:val="00A5553A"/>
    <w:rsid w:val="00A555F6"/>
    <w:rsid w:val="00A55926"/>
    <w:rsid w:val="00A56097"/>
    <w:rsid w:val="00A5652E"/>
    <w:rsid w:val="00A56618"/>
    <w:rsid w:val="00A56939"/>
    <w:rsid w:val="00A56BFD"/>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2B4"/>
    <w:rsid w:val="00A62466"/>
    <w:rsid w:val="00A6247D"/>
    <w:rsid w:val="00A627C6"/>
    <w:rsid w:val="00A629AA"/>
    <w:rsid w:val="00A62A13"/>
    <w:rsid w:val="00A6308C"/>
    <w:rsid w:val="00A63125"/>
    <w:rsid w:val="00A633F5"/>
    <w:rsid w:val="00A634A0"/>
    <w:rsid w:val="00A63CC4"/>
    <w:rsid w:val="00A64A9E"/>
    <w:rsid w:val="00A64DE5"/>
    <w:rsid w:val="00A64E05"/>
    <w:rsid w:val="00A65145"/>
    <w:rsid w:val="00A6519E"/>
    <w:rsid w:val="00A65347"/>
    <w:rsid w:val="00A655C6"/>
    <w:rsid w:val="00A6595E"/>
    <w:rsid w:val="00A65A14"/>
    <w:rsid w:val="00A65D2A"/>
    <w:rsid w:val="00A663F6"/>
    <w:rsid w:val="00A666B6"/>
    <w:rsid w:val="00A66D71"/>
    <w:rsid w:val="00A67112"/>
    <w:rsid w:val="00A6752C"/>
    <w:rsid w:val="00A67A63"/>
    <w:rsid w:val="00A67D4D"/>
    <w:rsid w:val="00A67D8D"/>
    <w:rsid w:val="00A67ED4"/>
    <w:rsid w:val="00A70248"/>
    <w:rsid w:val="00A704F0"/>
    <w:rsid w:val="00A70793"/>
    <w:rsid w:val="00A7083B"/>
    <w:rsid w:val="00A70E9F"/>
    <w:rsid w:val="00A7160B"/>
    <w:rsid w:val="00A71960"/>
    <w:rsid w:val="00A71BE1"/>
    <w:rsid w:val="00A71FCA"/>
    <w:rsid w:val="00A721AE"/>
    <w:rsid w:val="00A72363"/>
    <w:rsid w:val="00A72784"/>
    <w:rsid w:val="00A7355F"/>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F7"/>
    <w:rsid w:val="00A77020"/>
    <w:rsid w:val="00A7725D"/>
    <w:rsid w:val="00A77402"/>
    <w:rsid w:val="00A7774A"/>
    <w:rsid w:val="00A77BAB"/>
    <w:rsid w:val="00A8001E"/>
    <w:rsid w:val="00A8022B"/>
    <w:rsid w:val="00A80334"/>
    <w:rsid w:val="00A803E6"/>
    <w:rsid w:val="00A80E68"/>
    <w:rsid w:val="00A815D1"/>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E09"/>
    <w:rsid w:val="00A842BE"/>
    <w:rsid w:val="00A84668"/>
    <w:rsid w:val="00A846FA"/>
    <w:rsid w:val="00A84708"/>
    <w:rsid w:val="00A84978"/>
    <w:rsid w:val="00A84E0B"/>
    <w:rsid w:val="00A84F9F"/>
    <w:rsid w:val="00A85108"/>
    <w:rsid w:val="00A851B9"/>
    <w:rsid w:val="00A85474"/>
    <w:rsid w:val="00A854BD"/>
    <w:rsid w:val="00A854EB"/>
    <w:rsid w:val="00A8567A"/>
    <w:rsid w:val="00A85AD2"/>
    <w:rsid w:val="00A85CF7"/>
    <w:rsid w:val="00A85E12"/>
    <w:rsid w:val="00A85E1B"/>
    <w:rsid w:val="00A85EB2"/>
    <w:rsid w:val="00A86034"/>
    <w:rsid w:val="00A8628D"/>
    <w:rsid w:val="00A864CF"/>
    <w:rsid w:val="00A86714"/>
    <w:rsid w:val="00A86A86"/>
    <w:rsid w:val="00A86B0E"/>
    <w:rsid w:val="00A8704C"/>
    <w:rsid w:val="00A8706F"/>
    <w:rsid w:val="00A87088"/>
    <w:rsid w:val="00A87108"/>
    <w:rsid w:val="00A8770F"/>
    <w:rsid w:val="00A87782"/>
    <w:rsid w:val="00A87888"/>
    <w:rsid w:val="00A878FE"/>
    <w:rsid w:val="00A87A56"/>
    <w:rsid w:val="00A87A6B"/>
    <w:rsid w:val="00A87CAA"/>
    <w:rsid w:val="00A87D8C"/>
    <w:rsid w:val="00A87E9F"/>
    <w:rsid w:val="00A901F0"/>
    <w:rsid w:val="00A9032C"/>
    <w:rsid w:val="00A904FB"/>
    <w:rsid w:val="00A90A63"/>
    <w:rsid w:val="00A90C3E"/>
    <w:rsid w:val="00A90CB4"/>
    <w:rsid w:val="00A90D90"/>
    <w:rsid w:val="00A90E73"/>
    <w:rsid w:val="00A90FD7"/>
    <w:rsid w:val="00A9108A"/>
    <w:rsid w:val="00A91220"/>
    <w:rsid w:val="00A91258"/>
    <w:rsid w:val="00A918EC"/>
    <w:rsid w:val="00A91AF4"/>
    <w:rsid w:val="00A92122"/>
    <w:rsid w:val="00A923FD"/>
    <w:rsid w:val="00A925EE"/>
    <w:rsid w:val="00A92A17"/>
    <w:rsid w:val="00A92B1B"/>
    <w:rsid w:val="00A92DD7"/>
    <w:rsid w:val="00A92DED"/>
    <w:rsid w:val="00A9329D"/>
    <w:rsid w:val="00A935D8"/>
    <w:rsid w:val="00A93846"/>
    <w:rsid w:val="00A93B37"/>
    <w:rsid w:val="00A94389"/>
    <w:rsid w:val="00A943B7"/>
    <w:rsid w:val="00A94996"/>
    <w:rsid w:val="00A94B47"/>
    <w:rsid w:val="00A94C16"/>
    <w:rsid w:val="00A94FD4"/>
    <w:rsid w:val="00A951B6"/>
    <w:rsid w:val="00A9581A"/>
    <w:rsid w:val="00A95900"/>
    <w:rsid w:val="00A95B6F"/>
    <w:rsid w:val="00A95F9F"/>
    <w:rsid w:val="00A965AC"/>
    <w:rsid w:val="00A9662B"/>
    <w:rsid w:val="00A96A61"/>
    <w:rsid w:val="00A96C9D"/>
    <w:rsid w:val="00A9709A"/>
    <w:rsid w:val="00A972B6"/>
    <w:rsid w:val="00A97803"/>
    <w:rsid w:val="00A9790E"/>
    <w:rsid w:val="00A97D0B"/>
    <w:rsid w:val="00A97F91"/>
    <w:rsid w:val="00AA0032"/>
    <w:rsid w:val="00AA0BF3"/>
    <w:rsid w:val="00AA134C"/>
    <w:rsid w:val="00AA179F"/>
    <w:rsid w:val="00AA1BDE"/>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42E"/>
    <w:rsid w:val="00AA5494"/>
    <w:rsid w:val="00AA5619"/>
    <w:rsid w:val="00AA56AF"/>
    <w:rsid w:val="00AA641D"/>
    <w:rsid w:val="00AA6618"/>
    <w:rsid w:val="00AA675A"/>
    <w:rsid w:val="00AA6A18"/>
    <w:rsid w:val="00AA6B99"/>
    <w:rsid w:val="00AA6BBD"/>
    <w:rsid w:val="00AA7041"/>
    <w:rsid w:val="00AA710C"/>
    <w:rsid w:val="00AA726A"/>
    <w:rsid w:val="00AA7333"/>
    <w:rsid w:val="00AA73BB"/>
    <w:rsid w:val="00AA7503"/>
    <w:rsid w:val="00AA7790"/>
    <w:rsid w:val="00AA790E"/>
    <w:rsid w:val="00AA7938"/>
    <w:rsid w:val="00AA7A75"/>
    <w:rsid w:val="00AA7E71"/>
    <w:rsid w:val="00AB04E4"/>
    <w:rsid w:val="00AB0764"/>
    <w:rsid w:val="00AB09F1"/>
    <w:rsid w:val="00AB0A0F"/>
    <w:rsid w:val="00AB0C83"/>
    <w:rsid w:val="00AB11A5"/>
    <w:rsid w:val="00AB12AC"/>
    <w:rsid w:val="00AB14CA"/>
    <w:rsid w:val="00AB1850"/>
    <w:rsid w:val="00AB1899"/>
    <w:rsid w:val="00AB2077"/>
    <w:rsid w:val="00AB20E7"/>
    <w:rsid w:val="00AB2683"/>
    <w:rsid w:val="00AB27F5"/>
    <w:rsid w:val="00AB289F"/>
    <w:rsid w:val="00AB340E"/>
    <w:rsid w:val="00AB3B78"/>
    <w:rsid w:val="00AB3D52"/>
    <w:rsid w:val="00AB3D95"/>
    <w:rsid w:val="00AB3DE8"/>
    <w:rsid w:val="00AB45CC"/>
    <w:rsid w:val="00AB4B9D"/>
    <w:rsid w:val="00AB5039"/>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CF5"/>
    <w:rsid w:val="00AC2FD3"/>
    <w:rsid w:val="00AC3062"/>
    <w:rsid w:val="00AC3547"/>
    <w:rsid w:val="00AC3693"/>
    <w:rsid w:val="00AC394A"/>
    <w:rsid w:val="00AC3A22"/>
    <w:rsid w:val="00AC3A5F"/>
    <w:rsid w:val="00AC4016"/>
    <w:rsid w:val="00AC4202"/>
    <w:rsid w:val="00AC44D1"/>
    <w:rsid w:val="00AC4903"/>
    <w:rsid w:val="00AC4A10"/>
    <w:rsid w:val="00AC4B64"/>
    <w:rsid w:val="00AC4C9B"/>
    <w:rsid w:val="00AC568B"/>
    <w:rsid w:val="00AC5892"/>
    <w:rsid w:val="00AC5A11"/>
    <w:rsid w:val="00AC61F0"/>
    <w:rsid w:val="00AC6679"/>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1759"/>
    <w:rsid w:val="00AD2090"/>
    <w:rsid w:val="00AD20C2"/>
    <w:rsid w:val="00AD224F"/>
    <w:rsid w:val="00AD241E"/>
    <w:rsid w:val="00AD2889"/>
    <w:rsid w:val="00AD2A48"/>
    <w:rsid w:val="00AD2D4B"/>
    <w:rsid w:val="00AD2F6C"/>
    <w:rsid w:val="00AD30D1"/>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6CFC"/>
    <w:rsid w:val="00AD7375"/>
    <w:rsid w:val="00AD7387"/>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82"/>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864"/>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7B5"/>
    <w:rsid w:val="00AF0AEB"/>
    <w:rsid w:val="00AF0C2F"/>
    <w:rsid w:val="00AF0C32"/>
    <w:rsid w:val="00AF1614"/>
    <w:rsid w:val="00AF177F"/>
    <w:rsid w:val="00AF17FF"/>
    <w:rsid w:val="00AF1905"/>
    <w:rsid w:val="00AF1E84"/>
    <w:rsid w:val="00AF1F79"/>
    <w:rsid w:val="00AF26FE"/>
    <w:rsid w:val="00AF31D7"/>
    <w:rsid w:val="00AF3859"/>
    <w:rsid w:val="00AF38CC"/>
    <w:rsid w:val="00AF3BED"/>
    <w:rsid w:val="00AF3D7C"/>
    <w:rsid w:val="00AF3FD0"/>
    <w:rsid w:val="00AF4B75"/>
    <w:rsid w:val="00AF4C37"/>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964"/>
    <w:rsid w:val="00B02BE2"/>
    <w:rsid w:val="00B02BFF"/>
    <w:rsid w:val="00B02DEF"/>
    <w:rsid w:val="00B031ED"/>
    <w:rsid w:val="00B034E4"/>
    <w:rsid w:val="00B03551"/>
    <w:rsid w:val="00B036FB"/>
    <w:rsid w:val="00B03AAB"/>
    <w:rsid w:val="00B03ED3"/>
    <w:rsid w:val="00B03FF4"/>
    <w:rsid w:val="00B04200"/>
    <w:rsid w:val="00B04540"/>
    <w:rsid w:val="00B04E00"/>
    <w:rsid w:val="00B051D3"/>
    <w:rsid w:val="00B055EF"/>
    <w:rsid w:val="00B05675"/>
    <w:rsid w:val="00B05DBE"/>
    <w:rsid w:val="00B06495"/>
    <w:rsid w:val="00B06A6A"/>
    <w:rsid w:val="00B0784F"/>
    <w:rsid w:val="00B07870"/>
    <w:rsid w:val="00B07908"/>
    <w:rsid w:val="00B07A4E"/>
    <w:rsid w:val="00B07AE6"/>
    <w:rsid w:val="00B101EA"/>
    <w:rsid w:val="00B10603"/>
    <w:rsid w:val="00B107A2"/>
    <w:rsid w:val="00B107B0"/>
    <w:rsid w:val="00B10967"/>
    <w:rsid w:val="00B10AC2"/>
    <w:rsid w:val="00B10FA2"/>
    <w:rsid w:val="00B114D7"/>
    <w:rsid w:val="00B11A2B"/>
    <w:rsid w:val="00B11D0C"/>
    <w:rsid w:val="00B11D52"/>
    <w:rsid w:val="00B11DA4"/>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07D"/>
    <w:rsid w:val="00B228EA"/>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606D"/>
    <w:rsid w:val="00B26225"/>
    <w:rsid w:val="00B263BD"/>
    <w:rsid w:val="00B2641A"/>
    <w:rsid w:val="00B26906"/>
    <w:rsid w:val="00B269DF"/>
    <w:rsid w:val="00B26ACC"/>
    <w:rsid w:val="00B26B33"/>
    <w:rsid w:val="00B26C4C"/>
    <w:rsid w:val="00B26D11"/>
    <w:rsid w:val="00B26DED"/>
    <w:rsid w:val="00B271EC"/>
    <w:rsid w:val="00B27347"/>
    <w:rsid w:val="00B278BA"/>
    <w:rsid w:val="00B27C7E"/>
    <w:rsid w:val="00B302EA"/>
    <w:rsid w:val="00B307B3"/>
    <w:rsid w:val="00B308B5"/>
    <w:rsid w:val="00B308ED"/>
    <w:rsid w:val="00B30B4A"/>
    <w:rsid w:val="00B30C79"/>
    <w:rsid w:val="00B30DF2"/>
    <w:rsid w:val="00B30F14"/>
    <w:rsid w:val="00B315AF"/>
    <w:rsid w:val="00B3173C"/>
    <w:rsid w:val="00B31B60"/>
    <w:rsid w:val="00B31D42"/>
    <w:rsid w:val="00B31E32"/>
    <w:rsid w:val="00B32514"/>
    <w:rsid w:val="00B32701"/>
    <w:rsid w:val="00B3299C"/>
    <w:rsid w:val="00B330D9"/>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5C1"/>
    <w:rsid w:val="00B3577E"/>
    <w:rsid w:val="00B357FA"/>
    <w:rsid w:val="00B35807"/>
    <w:rsid w:val="00B366D4"/>
    <w:rsid w:val="00B36BC0"/>
    <w:rsid w:val="00B36BF5"/>
    <w:rsid w:val="00B371BC"/>
    <w:rsid w:val="00B3764A"/>
    <w:rsid w:val="00B3792E"/>
    <w:rsid w:val="00B40449"/>
    <w:rsid w:val="00B407A9"/>
    <w:rsid w:val="00B40836"/>
    <w:rsid w:val="00B40AAC"/>
    <w:rsid w:val="00B40ACD"/>
    <w:rsid w:val="00B40F8F"/>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7D0"/>
    <w:rsid w:val="00B43851"/>
    <w:rsid w:val="00B43898"/>
    <w:rsid w:val="00B439A4"/>
    <w:rsid w:val="00B43B09"/>
    <w:rsid w:val="00B43C01"/>
    <w:rsid w:val="00B440BE"/>
    <w:rsid w:val="00B44174"/>
    <w:rsid w:val="00B4440D"/>
    <w:rsid w:val="00B4441D"/>
    <w:rsid w:val="00B44461"/>
    <w:rsid w:val="00B4456E"/>
    <w:rsid w:val="00B44D86"/>
    <w:rsid w:val="00B44E4C"/>
    <w:rsid w:val="00B44F8E"/>
    <w:rsid w:val="00B450E5"/>
    <w:rsid w:val="00B45225"/>
    <w:rsid w:val="00B45334"/>
    <w:rsid w:val="00B4546D"/>
    <w:rsid w:val="00B45612"/>
    <w:rsid w:val="00B45841"/>
    <w:rsid w:val="00B4596C"/>
    <w:rsid w:val="00B45B6D"/>
    <w:rsid w:val="00B45F40"/>
    <w:rsid w:val="00B46183"/>
    <w:rsid w:val="00B46294"/>
    <w:rsid w:val="00B4655E"/>
    <w:rsid w:val="00B46E2E"/>
    <w:rsid w:val="00B46EB4"/>
    <w:rsid w:val="00B4790F"/>
    <w:rsid w:val="00B47AB7"/>
    <w:rsid w:val="00B501DD"/>
    <w:rsid w:val="00B50562"/>
    <w:rsid w:val="00B50C8A"/>
    <w:rsid w:val="00B50D41"/>
    <w:rsid w:val="00B50F1B"/>
    <w:rsid w:val="00B51420"/>
    <w:rsid w:val="00B51957"/>
    <w:rsid w:val="00B51AD0"/>
    <w:rsid w:val="00B51C75"/>
    <w:rsid w:val="00B51FC9"/>
    <w:rsid w:val="00B524B7"/>
    <w:rsid w:val="00B52E68"/>
    <w:rsid w:val="00B53265"/>
    <w:rsid w:val="00B53339"/>
    <w:rsid w:val="00B53351"/>
    <w:rsid w:val="00B53C88"/>
    <w:rsid w:val="00B543B6"/>
    <w:rsid w:val="00B54C90"/>
    <w:rsid w:val="00B54DD8"/>
    <w:rsid w:val="00B55680"/>
    <w:rsid w:val="00B559D8"/>
    <w:rsid w:val="00B55AB0"/>
    <w:rsid w:val="00B56070"/>
    <w:rsid w:val="00B560EF"/>
    <w:rsid w:val="00B567A5"/>
    <w:rsid w:val="00B572C0"/>
    <w:rsid w:val="00B57318"/>
    <w:rsid w:val="00B575F1"/>
    <w:rsid w:val="00B578A6"/>
    <w:rsid w:val="00B57C3D"/>
    <w:rsid w:val="00B60E22"/>
    <w:rsid w:val="00B6107C"/>
    <w:rsid w:val="00B610C8"/>
    <w:rsid w:val="00B61286"/>
    <w:rsid w:val="00B612C4"/>
    <w:rsid w:val="00B61929"/>
    <w:rsid w:val="00B61D60"/>
    <w:rsid w:val="00B61D62"/>
    <w:rsid w:val="00B6216E"/>
    <w:rsid w:val="00B62746"/>
    <w:rsid w:val="00B627D6"/>
    <w:rsid w:val="00B62C7B"/>
    <w:rsid w:val="00B62E20"/>
    <w:rsid w:val="00B62E3F"/>
    <w:rsid w:val="00B62E51"/>
    <w:rsid w:val="00B62F85"/>
    <w:rsid w:val="00B63052"/>
    <w:rsid w:val="00B63496"/>
    <w:rsid w:val="00B63BFA"/>
    <w:rsid w:val="00B63DEA"/>
    <w:rsid w:val="00B63F5F"/>
    <w:rsid w:val="00B64781"/>
    <w:rsid w:val="00B64B34"/>
    <w:rsid w:val="00B64FA4"/>
    <w:rsid w:val="00B6503D"/>
    <w:rsid w:val="00B650F4"/>
    <w:rsid w:val="00B65345"/>
    <w:rsid w:val="00B65546"/>
    <w:rsid w:val="00B65C51"/>
    <w:rsid w:val="00B65D15"/>
    <w:rsid w:val="00B65E99"/>
    <w:rsid w:val="00B65FFF"/>
    <w:rsid w:val="00B66006"/>
    <w:rsid w:val="00B663FF"/>
    <w:rsid w:val="00B6641E"/>
    <w:rsid w:val="00B66678"/>
    <w:rsid w:val="00B666AF"/>
    <w:rsid w:val="00B666B9"/>
    <w:rsid w:val="00B66817"/>
    <w:rsid w:val="00B66927"/>
    <w:rsid w:val="00B66AC8"/>
    <w:rsid w:val="00B66D21"/>
    <w:rsid w:val="00B66DAD"/>
    <w:rsid w:val="00B66DE0"/>
    <w:rsid w:val="00B66E59"/>
    <w:rsid w:val="00B6718E"/>
    <w:rsid w:val="00B671ED"/>
    <w:rsid w:val="00B674FD"/>
    <w:rsid w:val="00B67792"/>
    <w:rsid w:val="00B6785C"/>
    <w:rsid w:val="00B67D17"/>
    <w:rsid w:val="00B70292"/>
    <w:rsid w:val="00B70485"/>
    <w:rsid w:val="00B70877"/>
    <w:rsid w:val="00B708C7"/>
    <w:rsid w:val="00B70A1F"/>
    <w:rsid w:val="00B70C75"/>
    <w:rsid w:val="00B70EBE"/>
    <w:rsid w:val="00B70FA1"/>
    <w:rsid w:val="00B71164"/>
    <w:rsid w:val="00B7126F"/>
    <w:rsid w:val="00B71480"/>
    <w:rsid w:val="00B71769"/>
    <w:rsid w:val="00B717A2"/>
    <w:rsid w:val="00B71833"/>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242"/>
    <w:rsid w:val="00B7341F"/>
    <w:rsid w:val="00B7377E"/>
    <w:rsid w:val="00B73A2E"/>
    <w:rsid w:val="00B74007"/>
    <w:rsid w:val="00B741AD"/>
    <w:rsid w:val="00B743AD"/>
    <w:rsid w:val="00B74722"/>
    <w:rsid w:val="00B749F2"/>
    <w:rsid w:val="00B74A87"/>
    <w:rsid w:val="00B74AF1"/>
    <w:rsid w:val="00B74CE1"/>
    <w:rsid w:val="00B74F2C"/>
    <w:rsid w:val="00B7509C"/>
    <w:rsid w:val="00B752C3"/>
    <w:rsid w:val="00B756C0"/>
    <w:rsid w:val="00B7593D"/>
    <w:rsid w:val="00B75FF5"/>
    <w:rsid w:val="00B7622C"/>
    <w:rsid w:val="00B763D5"/>
    <w:rsid w:val="00B764CF"/>
    <w:rsid w:val="00B7681F"/>
    <w:rsid w:val="00B768B0"/>
    <w:rsid w:val="00B76908"/>
    <w:rsid w:val="00B76ABB"/>
    <w:rsid w:val="00B774C7"/>
    <w:rsid w:val="00B774ED"/>
    <w:rsid w:val="00B7792D"/>
    <w:rsid w:val="00B77973"/>
    <w:rsid w:val="00B77D77"/>
    <w:rsid w:val="00B80185"/>
    <w:rsid w:val="00B80B94"/>
    <w:rsid w:val="00B80C66"/>
    <w:rsid w:val="00B81202"/>
    <w:rsid w:val="00B8146A"/>
    <w:rsid w:val="00B81702"/>
    <w:rsid w:val="00B81E43"/>
    <w:rsid w:val="00B8264C"/>
    <w:rsid w:val="00B836BE"/>
    <w:rsid w:val="00B8436C"/>
    <w:rsid w:val="00B84A70"/>
    <w:rsid w:val="00B84B0C"/>
    <w:rsid w:val="00B84BA7"/>
    <w:rsid w:val="00B85069"/>
    <w:rsid w:val="00B851EA"/>
    <w:rsid w:val="00B8527B"/>
    <w:rsid w:val="00B852D6"/>
    <w:rsid w:val="00B856A4"/>
    <w:rsid w:val="00B85945"/>
    <w:rsid w:val="00B85CCD"/>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E1"/>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8F3"/>
    <w:rsid w:val="00BA24BF"/>
    <w:rsid w:val="00BA289A"/>
    <w:rsid w:val="00BA28CF"/>
    <w:rsid w:val="00BA2B78"/>
    <w:rsid w:val="00BA2D40"/>
    <w:rsid w:val="00BA30B7"/>
    <w:rsid w:val="00BA335B"/>
    <w:rsid w:val="00BA37EC"/>
    <w:rsid w:val="00BA3AEC"/>
    <w:rsid w:val="00BA3DE1"/>
    <w:rsid w:val="00BA3E55"/>
    <w:rsid w:val="00BA3FC7"/>
    <w:rsid w:val="00BA4248"/>
    <w:rsid w:val="00BA44BB"/>
    <w:rsid w:val="00BA4664"/>
    <w:rsid w:val="00BA48A3"/>
    <w:rsid w:val="00BA4B2F"/>
    <w:rsid w:val="00BA4C1D"/>
    <w:rsid w:val="00BA4DF4"/>
    <w:rsid w:val="00BA4E92"/>
    <w:rsid w:val="00BA5340"/>
    <w:rsid w:val="00BA5382"/>
    <w:rsid w:val="00BA5624"/>
    <w:rsid w:val="00BA5772"/>
    <w:rsid w:val="00BA5785"/>
    <w:rsid w:val="00BA57B8"/>
    <w:rsid w:val="00BA57C6"/>
    <w:rsid w:val="00BA58CC"/>
    <w:rsid w:val="00BA5B3D"/>
    <w:rsid w:val="00BA5BF6"/>
    <w:rsid w:val="00BA5DD4"/>
    <w:rsid w:val="00BA6113"/>
    <w:rsid w:val="00BA614B"/>
    <w:rsid w:val="00BA693C"/>
    <w:rsid w:val="00BA6C50"/>
    <w:rsid w:val="00BA6C5D"/>
    <w:rsid w:val="00BA7024"/>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3F94"/>
    <w:rsid w:val="00BB42B6"/>
    <w:rsid w:val="00BB42F7"/>
    <w:rsid w:val="00BB43B0"/>
    <w:rsid w:val="00BB444D"/>
    <w:rsid w:val="00BB47CB"/>
    <w:rsid w:val="00BB4ACB"/>
    <w:rsid w:val="00BB4B8B"/>
    <w:rsid w:val="00BB4C92"/>
    <w:rsid w:val="00BB4E9E"/>
    <w:rsid w:val="00BB5156"/>
    <w:rsid w:val="00BB52C9"/>
    <w:rsid w:val="00BB55AE"/>
    <w:rsid w:val="00BB55E7"/>
    <w:rsid w:val="00BB5A8D"/>
    <w:rsid w:val="00BB5B03"/>
    <w:rsid w:val="00BB5BD2"/>
    <w:rsid w:val="00BB5D00"/>
    <w:rsid w:val="00BB5E72"/>
    <w:rsid w:val="00BB61ED"/>
    <w:rsid w:val="00BB6276"/>
    <w:rsid w:val="00BB6526"/>
    <w:rsid w:val="00BB68A0"/>
    <w:rsid w:val="00BB69DC"/>
    <w:rsid w:val="00BB6A53"/>
    <w:rsid w:val="00BB6AE1"/>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41E6"/>
    <w:rsid w:val="00BC4336"/>
    <w:rsid w:val="00BC4486"/>
    <w:rsid w:val="00BC49A1"/>
    <w:rsid w:val="00BC49B0"/>
    <w:rsid w:val="00BC4A23"/>
    <w:rsid w:val="00BC4B16"/>
    <w:rsid w:val="00BC4FC4"/>
    <w:rsid w:val="00BC5178"/>
    <w:rsid w:val="00BC540A"/>
    <w:rsid w:val="00BC55C4"/>
    <w:rsid w:val="00BC572B"/>
    <w:rsid w:val="00BC5E60"/>
    <w:rsid w:val="00BC61B5"/>
    <w:rsid w:val="00BC6280"/>
    <w:rsid w:val="00BC6774"/>
    <w:rsid w:val="00BC6800"/>
    <w:rsid w:val="00BC6A6B"/>
    <w:rsid w:val="00BC6D70"/>
    <w:rsid w:val="00BC6F1C"/>
    <w:rsid w:val="00BC7046"/>
    <w:rsid w:val="00BC7162"/>
    <w:rsid w:val="00BC76D7"/>
    <w:rsid w:val="00BC77F9"/>
    <w:rsid w:val="00BD0059"/>
    <w:rsid w:val="00BD04CA"/>
    <w:rsid w:val="00BD05A8"/>
    <w:rsid w:val="00BD0839"/>
    <w:rsid w:val="00BD0BB1"/>
    <w:rsid w:val="00BD0CDF"/>
    <w:rsid w:val="00BD10B9"/>
    <w:rsid w:val="00BD114A"/>
    <w:rsid w:val="00BD13EA"/>
    <w:rsid w:val="00BD1717"/>
    <w:rsid w:val="00BD2499"/>
    <w:rsid w:val="00BD2907"/>
    <w:rsid w:val="00BD2FA6"/>
    <w:rsid w:val="00BD3337"/>
    <w:rsid w:val="00BD3430"/>
    <w:rsid w:val="00BD3480"/>
    <w:rsid w:val="00BD3523"/>
    <w:rsid w:val="00BD373F"/>
    <w:rsid w:val="00BD37CC"/>
    <w:rsid w:val="00BD3913"/>
    <w:rsid w:val="00BD3B8B"/>
    <w:rsid w:val="00BD3BCF"/>
    <w:rsid w:val="00BD43F4"/>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7A5"/>
    <w:rsid w:val="00BD6B72"/>
    <w:rsid w:val="00BD70DB"/>
    <w:rsid w:val="00BD7172"/>
    <w:rsid w:val="00BD740D"/>
    <w:rsid w:val="00BD7418"/>
    <w:rsid w:val="00BD77A8"/>
    <w:rsid w:val="00BD7980"/>
    <w:rsid w:val="00BD7C4B"/>
    <w:rsid w:val="00BD7E24"/>
    <w:rsid w:val="00BE05A9"/>
    <w:rsid w:val="00BE0B83"/>
    <w:rsid w:val="00BE0C62"/>
    <w:rsid w:val="00BE0CEC"/>
    <w:rsid w:val="00BE12FE"/>
    <w:rsid w:val="00BE12FF"/>
    <w:rsid w:val="00BE1338"/>
    <w:rsid w:val="00BE1D97"/>
    <w:rsid w:val="00BE1DCB"/>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4A22"/>
    <w:rsid w:val="00BE4E54"/>
    <w:rsid w:val="00BE5382"/>
    <w:rsid w:val="00BE5447"/>
    <w:rsid w:val="00BE5A02"/>
    <w:rsid w:val="00BE5EAE"/>
    <w:rsid w:val="00BE5EFD"/>
    <w:rsid w:val="00BE60E4"/>
    <w:rsid w:val="00BE6868"/>
    <w:rsid w:val="00BE6EC3"/>
    <w:rsid w:val="00BE7518"/>
    <w:rsid w:val="00BE7781"/>
    <w:rsid w:val="00BE7F4C"/>
    <w:rsid w:val="00BE7FA7"/>
    <w:rsid w:val="00BF00F3"/>
    <w:rsid w:val="00BF0912"/>
    <w:rsid w:val="00BF0BDC"/>
    <w:rsid w:val="00BF0C65"/>
    <w:rsid w:val="00BF0E5B"/>
    <w:rsid w:val="00BF10B2"/>
    <w:rsid w:val="00BF126B"/>
    <w:rsid w:val="00BF16C6"/>
    <w:rsid w:val="00BF1ED0"/>
    <w:rsid w:val="00BF2384"/>
    <w:rsid w:val="00BF2628"/>
    <w:rsid w:val="00BF2707"/>
    <w:rsid w:val="00BF277C"/>
    <w:rsid w:val="00BF2AC2"/>
    <w:rsid w:val="00BF2B41"/>
    <w:rsid w:val="00BF325E"/>
    <w:rsid w:val="00BF3375"/>
    <w:rsid w:val="00BF3522"/>
    <w:rsid w:val="00BF3BDC"/>
    <w:rsid w:val="00BF3BE6"/>
    <w:rsid w:val="00BF44C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8C7"/>
    <w:rsid w:val="00C00C4B"/>
    <w:rsid w:val="00C00E17"/>
    <w:rsid w:val="00C0127E"/>
    <w:rsid w:val="00C0131E"/>
    <w:rsid w:val="00C01755"/>
    <w:rsid w:val="00C019FF"/>
    <w:rsid w:val="00C01B05"/>
    <w:rsid w:val="00C01C53"/>
    <w:rsid w:val="00C01E16"/>
    <w:rsid w:val="00C01E71"/>
    <w:rsid w:val="00C02ABC"/>
    <w:rsid w:val="00C02BE4"/>
    <w:rsid w:val="00C02DB6"/>
    <w:rsid w:val="00C0303F"/>
    <w:rsid w:val="00C0383C"/>
    <w:rsid w:val="00C03AF0"/>
    <w:rsid w:val="00C03C6F"/>
    <w:rsid w:val="00C03C8F"/>
    <w:rsid w:val="00C03DB1"/>
    <w:rsid w:val="00C03F1F"/>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758"/>
    <w:rsid w:val="00C0792F"/>
    <w:rsid w:val="00C1023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310"/>
    <w:rsid w:val="00C15BAD"/>
    <w:rsid w:val="00C1609F"/>
    <w:rsid w:val="00C1610C"/>
    <w:rsid w:val="00C1678D"/>
    <w:rsid w:val="00C16AFD"/>
    <w:rsid w:val="00C16C39"/>
    <w:rsid w:val="00C16D97"/>
    <w:rsid w:val="00C16ECA"/>
    <w:rsid w:val="00C17029"/>
    <w:rsid w:val="00C17086"/>
    <w:rsid w:val="00C1719B"/>
    <w:rsid w:val="00C1764E"/>
    <w:rsid w:val="00C1779D"/>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5F9"/>
    <w:rsid w:val="00C266E1"/>
    <w:rsid w:val="00C267F6"/>
    <w:rsid w:val="00C26CF1"/>
    <w:rsid w:val="00C26F89"/>
    <w:rsid w:val="00C270D4"/>
    <w:rsid w:val="00C273C1"/>
    <w:rsid w:val="00C27D1A"/>
    <w:rsid w:val="00C27D59"/>
    <w:rsid w:val="00C27F67"/>
    <w:rsid w:val="00C30080"/>
    <w:rsid w:val="00C30613"/>
    <w:rsid w:val="00C3073C"/>
    <w:rsid w:val="00C30F55"/>
    <w:rsid w:val="00C30F82"/>
    <w:rsid w:val="00C30FB6"/>
    <w:rsid w:val="00C31228"/>
    <w:rsid w:val="00C313C0"/>
    <w:rsid w:val="00C3144A"/>
    <w:rsid w:val="00C3149A"/>
    <w:rsid w:val="00C31665"/>
    <w:rsid w:val="00C31902"/>
    <w:rsid w:val="00C31A4A"/>
    <w:rsid w:val="00C31E1F"/>
    <w:rsid w:val="00C31EC7"/>
    <w:rsid w:val="00C3213C"/>
    <w:rsid w:val="00C32386"/>
    <w:rsid w:val="00C325B0"/>
    <w:rsid w:val="00C32990"/>
    <w:rsid w:val="00C32B3E"/>
    <w:rsid w:val="00C331FC"/>
    <w:rsid w:val="00C332A8"/>
    <w:rsid w:val="00C33A9C"/>
    <w:rsid w:val="00C33E75"/>
    <w:rsid w:val="00C3435E"/>
    <w:rsid w:val="00C34642"/>
    <w:rsid w:val="00C34938"/>
    <w:rsid w:val="00C34B47"/>
    <w:rsid w:val="00C34C1F"/>
    <w:rsid w:val="00C34E3E"/>
    <w:rsid w:val="00C34E42"/>
    <w:rsid w:val="00C351F2"/>
    <w:rsid w:val="00C3528B"/>
    <w:rsid w:val="00C35CB9"/>
    <w:rsid w:val="00C36466"/>
    <w:rsid w:val="00C368DA"/>
    <w:rsid w:val="00C369D3"/>
    <w:rsid w:val="00C36F5E"/>
    <w:rsid w:val="00C37885"/>
    <w:rsid w:val="00C379D3"/>
    <w:rsid w:val="00C37A08"/>
    <w:rsid w:val="00C37BCC"/>
    <w:rsid w:val="00C40683"/>
    <w:rsid w:val="00C4088F"/>
    <w:rsid w:val="00C40945"/>
    <w:rsid w:val="00C40D88"/>
    <w:rsid w:val="00C4129C"/>
    <w:rsid w:val="00C41755"/>
    <w:rsid w:val="00C41A79"/>
    <w:rsid w:val="00C41B01"/>
    <w:rsid w:val="00C41D00"/>
    <w:rsid w:val="00C420FC"/>
    <w:rsid w:val="00C4227A"/>
    <w:rsid w:val="00C42284"/>
    <w:rsid w:val="00C42CDA"/>
    <w:rsid w:val="00C42DAB"/>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478"/>
    <w:rsid w:val="00C50801"/>
    <w:rsid w:val="00C509F8"/>
    <w:rsid w:val="00C50BD7"/>
    <w:rsid w:val="00C512FD"/>
    <w:rsid w:val="00C51746"/>
    <w:rsid w:val="00C51975"/>
    <w:rsid w:val="00C51C29"/>
    <w:rsid w:val="00C51F67"/>
    <w:rsid w:val="00C5214C"/>
    <w:rsid w:val="00C52374"/>
    <w:rsid w:val="00C5269D"/>
    <w:rsid w:val="00C52B80"/>
    <w:rsid w:val="00C52B8A"/>
    <w:rsid w:val="00C52CB4"/>
    <w:rsid w:val="00C52D94"/>
    <w:rsid w:val="00C52EA7"/>
    <w:rsid w:val="00C5314F"/>
    <w:rsid w:val="00C53314"/>
    <w:rsid w:val="00C53814"/>
    <w:rsid w:val="00C53CD9"/>
    <w:rsid w:val="00C53F91"/>
    <w:rsid w:val="00C542B8"/>
    <w:rsid w:val="00C545DF"/>
    <w:rsid w:val="00C54632"/>
    <w:rsid w:val="00C546CD"/>
    <w:rsid w:val="00C54ACA"/>
    <w:rsid w:val="00C54C05"/>
    <w:rsid w:val="00C54E0E"/>
    <w:rsid w:val="00C55543"/>
    <w:rsid w:val="00C5577F"/>
    <w:rsid w:val="00C55B6C"/>
    <w:rsid w:val="00C55BFC"/>
    <w:rsid w:val="00C55E13"/>
    <w:rsid w:val="00C55ED1"/>
    <w:rsid w:val="00C55F49"/>
    <w:rsid w:val="00C561EB"/>
    <w:rsid w:val="00C5630D"/>
    <w:rsid w:val="00C564FD"/>
    <w:rsid w:val="00C56BC4"/>
    <w:rsid w:val="00C56C1F"/>
    <w:rsid w:val="00C56C3A"/>
    <w:rsid w:val="00C56F0E"/>
    <w:rsid w:val="00C57084"/>
    <w:rsid w:val="00C5729A"/>
    <w:rsid w:val="00C5761E"/>
    <w:rsid w:val="00C579A0"/>
    <w:rsid w:val="00C57A3C"/>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CC"/>
    <w:rsid w:val="00C63128"/>
    <w:rsid w:val="00C63294"/>
    <w:rsid w:val="00C632A4"/>
    <w:rsid w:val="00C6393C"/>
    <w:rsid w:val="00C63C27"/>
    <w:rsid w:val="00C63F21"/>
    <w:rsid w:val="00C64007"/>
    <w:rsid w:val="00C642CC"/>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2A59"/>
    <w:rsid w:val="00C72AB1"/>
    <w:rsid w:val="00C73692"/>
    <w:rsid w:val="00C737B8"/>
    <w:rsid w:val="00C74042"/>
    <w:rsid w:val="00C740E7"/>
    <w:rsid w:val="00C74220"/>
    <w:rsid w:val="00C74441"/>
    <w:rsid w:val="00C7460B"/>
    <w:rsid w:val="00C746B4"/>
    <w:rsid w:val="00C748E5"/>
    <w:rsid w:val="00C749F3"/>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878"/>
    <w:rsid w:val="00C77B24"/>
    <w:rsid w:val="00C77E74"/>
    <w:rsid w:val="00C80152"/>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6AD"/>
    <w:rsid w:val="00C829FA"/>
    <w:rsid w:val="00C82A6F"/>
    <w:rsid w:val="00C82B4C"/>
    <w:rsid w:val="00C82F30"/>
    <w:rsid w:val="00C830AE"/>
    <w:rsid w:val="00C8330A"/>
    <w:rsid w:val="00C834EC"/>
    <w:rsid w:val="00C836CA"/>
    <w:rsid w:val="00C839BF"/>
    <w:rsid w:val="00C839E8"/>
    <w:rsid w:val="00C83B3D"/>
    <w:rsid w:val="00C83EB0"/>
    <w:rsid w:val="00C83FF1"/>
    <w:rsid w:val="00C84757"/>
    <w:rsid w:val="00C848A5"/>
    <w:rsid w:val="00C84959"/>
    <w:rsid w:val="00C84972"/>
    <w:rsid w:val="00C84A47"/>
    <w:rsid w:val="00C84C4A"/>
    <w:rsid w:val="00C84D7B"/>
    <w:rsid w:val="00C84EAE"/>
    <w:rsid w:val="00C85290"/>
    <w:rsid w:val="00C85414"/>
    <w:rsid w:val="00C85F66"/>
    <w:rsid w:val="00C86075"/>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D13"/>
    <w:rsid w:val="00C932D0"/>
    <w:rsid w:val="00C934DC"/>
    <w:rsid w:val="00C9361D"/>
    <w:rsid w:val="00C93BA3"/>
    <w:rsid w:val="00C93FDE"/>
    <w:rsid w:val="00C94233"/>
    <w:rsid w:val="00C9463E"/>
    <w:rsid w:val="00C947DC"/>
    <w:rsid w:val="00C94820"/>
    <w:rsid w:val="00C94A0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975B5"/>
    <w:rsid w:val="00CA00E2"/>
    <w:rsid w:val="00CA0199"/>
    <w:rsid w:val="00CA01BE"/>
    <w:rsid w:val="00CA01D0"/>
    <w:rsid w:val="00CA01D9"/>
    <w:rsid w:val="00CA072A"/>
    <w:rsid w:val="00CA0A7B"/>
    <w:rsid w:val="00CA0ED0"/>
    <w:rsid w:val="00CA1215"/>
    <w:rsid w:val="00CA1A77"/>
    <w:rsid w:val="00CA1B27"/>
    <w:rsid w:val="00CA1D67"/>
    <w:rsid w:val="00CA1E33"/>
    <w:rsid w:val="00CA1E52"/>
    <w:rsid w:val="00CA213D"/>
    <w:rsid w:val="00CA22D8"/>
    <w:rsid w:val="00CA2479"/>
    <w:rsid w:val="00CA24E9"/>
    <w:rsid w:val="00CA26D2"/>
    <w:rsid w:val="00CA2A58"/>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412"/>
    <w:rsid w:val="00CA662A"/>
    <w:rsid w:val="00CA69E9"/>
    <w:rsid w:val="00CA7211"/>
    <w:rsid w:val="00CA7386"/>
    <w:rsid w:val="00CA7552"/>
    <w:rsid w:val="00CA7937"/>
    <w:rsid w:val="00CA79C0"/>
    <w:rsid w:val="00CA7B7D"/>
    <w:rsid w:val="00CA7B8D"/>
    <w:rsid w:val="00CA7BAA"/>
    <w:rsid w:val="00CA7D5E"/>
    <w:rsid w:val="00CA7ED0"/>
    <w:rsid w:val="00CA7F9E"/>
    <w:rsid w:val="00CB02E8"/>
    <w:rsid w:val="00CB0809"/>
    <w:rsid w:val="00CB0901"/>
    <w:rsid w:val="00CB13CE"/>
    <w:rsid w:val="00CB1724"/>
    <w:rsid w:val="00CB210D"/>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45A"/>
    <w:rsid w:val="00CB5A78"/>
    <w:rsid w:val="00CB5B58"/>
    <w:rsid w:val="00CB5F05"/>
    <w:rsid w:val="00CB6013"/>
    <w:rsid w:val="00CB6233"/>
    <w:rsid w:val="00CB6FDB"/>
    <w:rsid w:val="00CB702E"/>
    <w:rsid w:val="00CB7072"/>
    <w:rsid w:val="00CB70C5"/>
    <w:rsid w:val="00CB7244"/>
    <w:rsid w:val="00CB727F"/>
    <w:rsid w:val="00CB7584"/>
    <w:rsid w:val="00CB79DB"/>
    <w:rsid w:val="00CB7A78"/>
    <w:rsid w:val="00CB7C5D"/>
    <w:rsid w:val="00CB7C9B"/>
    <w:rsid w:val="00CC0136"/>
    <w:rsid w:val="00CC040D"/>
    <w:rsid w:val="00CC0471"/>
    <w:rsid w:val="00CC0490"/>
    <w:rsid w:val="00CC0641"/>
    <w:rsid w:val="00CC0796"/>
    <w:rsid w:val="00CC0AB8"/>
    <w:rsid w:val="00CC1003"/>
    <w:rsid w:val="00CC105F"/>
    <w:rsid w:val="00CC1093"/>
    <w:rsid w:val="00CC1402"/>
    <w:rsid w:val="00CC15A3"/>
    <w:rsid w:val="00CC176F"/>
    <w:rsid w:val="00CC1802"/>
    <w:rsid w:val="00CC1DB6"/>
    <w:rsid w:val="00CC1DF9"/>
    <w:rsid w:val="00CC1DFF"/>
    <w:rsid w:val="00CC2198"/>
    <w:rsid w:val="00CC32CD"/>
    <w:rsid w:val="00CC39C2"/>
    <w:rsid w:val="00CC3BBD"/>
    <w:rsid w:val="00CC3CCB"/>
    <w:rsid w:val="00CC421D"/>
    <w:rsid w:val="00CC44C5"/>
    <w:rsid w:val="00CC4B16"/>
    <w:rsid w:val="00CC4E65"/>
    <w:rsid w:val="00CC4F00"/>
    <w:rsid w:val="00CC4F6F"/>
    <w:rsid w:val="00CC5585"/>
    <w:rsid w:val="00CC568E"/>
    <w:rsid w:val="00CC6031"/>
    <w:rsid w:val="00CC61F4"/>
    <w:rsid w:val="00CC64A9"/>
    <w:rsid w:val="00CC6517"/>
    <w:rsid w:val="00CC6587"/>
    <w:rsid w:val="00CC670F"/>
    <w:rsid w:val="00CC6782"/>
    <w:rsid w:val="00CC69A6"/>
    <w:rsid w:val="00CC6CB5"/>
    <w:rsid w:val="00CC7223"/>
    <w:rsid w:val="00CC7324"/>
    <w:rsid w:val="00CC740C"/>
    <w:rsid w:val="00CC744D"/>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1DF"/>
    <w:rsid w:val="00CD275D"/>
    <w:rsid w:val="00CD2A87"/>
    <w:rsid w:val="00CD2CB5"/>
    <w:rsid w:val="00CD3319"/>
    <w:rsid w:val="00CD39B5"/>
    <w:rsid w:val="00CD3D12"/>
    <w:rsid w:val="00CD3D73"/>
    <w:rsid w:val="00CD3F84"/>
    <w:rsid w:val="00CD4501"/>
    <w:rsid w:val="00CD45F6"/>
    <w:rsid w:val="00CD49A3"/>
    <w:rsid w:val="00CD4CB5"/>
    <w:rsid w:val="00CD4D2C"/>
    <w:rsid w:val="00CD508D"/>
    <w:rsid w:val="00CD5233"/>
    <w:rsid w:val="00CD55AB"/>
    <w:rsid w:val="00CD5AB3"/>
    <w:rsid w:val="00CD5D56"/>
    <w:rsid w:val="00CD624E"/>
    <w:rsid w:val="00CD65DA"/>
    <w:rsid w:val="00CD6C31"/>
    <w:rsid w:val="00CD6D05"/>
    <w:rsid w:val="00CD6D9D"/>
    <w:rsid w:val="00CD6DD3"/>
    <w:rsid w:val="00CD7277"/>
    <w:rsid w:val="00CD73A0"/>
    <w:rsid w:val="00CD7421"/>
    <w:rsid w:val="00CD7EDA"/>
    <w:rsid w:val="00CE0906"/>
    <w:rsid w:val="00CE0927"/>
    <w:rsid w:val="00CE0B9D"/>
    <w:rsid w:val="00CE15E0"/>
    <w:rsid w:val="00CE17A1"/>
    <w:rsid w:val="00CE1B2C"/>
    <w:rsid w:val="00CE1EDE"/>
    <w:rsid w:val="00CE2113"/>
    <w:rsid w:val="00CE2662"/>
    <w:rsid w:val="00CE2B15"/>
    <w:rsid w:val="00CE308E"/>
    <w:rsid w:val="00CE33B3"/>
    <w:rsid w:val="00CE39F4"/>
    <w:rsid w:val="00CE3C1F"/>
    <w:rsid w:val="00CE40C9"/>
    <w:rsid w:val="00CE42DB"/>
    <w:rsid w:val="00CE450A"/>
    <w:rsid w:val="00CE4D6A"/>
    <w:rsid w:val="00CE4EF9"/>
    <w:rsid w:val="00CE4F95"/>
    <w:rsid w:val="00CE5300"/>
    <w:rsid w:val="00CE541D"/>
    <w:rsid w:val="00CE5E92"/>
    <w:rsid w:val="00CE634D"/>
    <w:rsid w:val="00CE6494"/>
    <w:rsid w:val="00CE6980"/>
    <w:rsid w:val="00CE6AFC"/>
    <w:rsid w:val="00CE6E87"/>
    <w:rsid w:val="00CE7493"/>
    <w:rsid w:val="00CE756A"/>
    <w:rsid w:val="00CE7713"/>
    <w:rsid w:val="00CE7DA1"/>
    <w:rsid w:val="00CE7DE1"/>
    <w:rsid w:val="00CE7DF2"/>
    <w:rsid w:val="00CF0183"/>
    <w:rsid w:val="00CF0235"/>
    <w:rsid w:val="00CF02E3"/>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BB8"/>
    <w:rsid w:val="00CF2C99"/>
    <w:rsid w:val="00CF2FB4"/>
    <w:rsid w:val="00CF32EB"/>
    <w:rsid w:val="00CF3420"/>
    <w:rsid w:val="00CF360F"/>
    <w:rsid w:val="00CF378B"/>
    <w:rsid w:val="00CF39AC"/>
    <w:rsid w:val="00CF3CE7"/>
    <w:rsid w:val="00CF3E7D"/>
    <w:rsid w:val="00CF45BB"/>
    <w:rsid w:val="00CF48A3"/>
    <w:rsid w:val="00CF48FB"/>
    <w:rsid w:val="00CF4B6E"/>
    <w:rsid w:val="00CF4C6C"/>
    <w:rsid w:val="00CF4EB1"/>
    <w:rsid w:val="00CF4F36"/>
    <w:rsid w:val="00CF4F7D"/>
    <w:rsid w:val="00CF5206"/>
    <w:rsid w:val="00CF5CBF"/>
    <w:rsid w:val="00CF5D21"/>
    <w:rsid w:val="00CF68F7"/>
    <w:rsid w:val="00CF6A01"/>
    <w:rsid w:val="00CF6B44"/>
    <w:rsid w:val="00CF6FD5"/>
    <w:rsid w:val="00CF724B"/>
    <w:rsid w:val="00CF734A"/>
    <w:rsid w:val="00CF73E3"/>
    <w:rsid w:val="00CF7C19"/>
    <w:rsid w:val="00D0004C"/>
    <w:rsid w:val="00D0018B"/>
    <w:rsid w:val="00D002F5"/>
    <w:rsid w:val="00D005D5"/>
    <w:rsid w:val="00D007D4"/>
    <w:rsid w:val="00D00BB5"/>
    <w:rsid w:val="00D00DD7"/>
    <w:rsid w:val="00D00ECA"/>
    <w:rsid w:val="00D01077"/>
    <w:rsid w:val="00D011E5"/>
    <w:rsid w:val="00D01660"/>
    <w:rsid w:val="00D016B2"/>
    <w:rsid w:val="00D019D7"/>
    <w:rsid w:val="00D02283"/>
    <w:rsid w:val="00D02338"/>
    <w:rsid w:val="00D026FD"/>
    <w:rsid w:val="00D0273B"/>
    <w:rsid w:val="00D02842"/>
    <w:rsid w:val="00D028DC"/>
    <w:rsid w:val="00D02996"/>
    <w:rsid w:val="00D02A0F"/>
    <w:rsid w:val="00D02C0C"/>
    <w:rsid w:val="00D02C66"/>
    <w:rsid w:val="00D02D81"/>
    <w:rsid w:val="00D02E93"/>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80E"/>
    <w:rsid w:val="00D05BD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3B8"/>
    <w:rsid w:val="00D129BC"/>
    <w:rsid w:val="00D12A9B"/>
    <w:rsid w:val="00D12F34"/>
    <w:rsid w:val="00D12F3C"/>
    <w:rsid w:val="00D13499"/>
    <w:rsid w:val="00D13A46"/>
    <w:rsid w:val="00D13A4E"/>
    <w:rsid w:val="00D13B31"/>
    <w:rsid w:val="00D142B2"/>
    <w:rsid w:val="00D1437B"/>
    <w:rsid w:val="00D14521"/>
    <w:rsid w:val="00D14686"/>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60"/>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5D7"/>
    <w:rsid w:val="00D2335A"/>
    <w:rsid w:val="00D23380"/>
    <w:rsid w:val="00D235BC"/>
    <w:rsid w:val="00D2366E"/>
    <w:rsid w:val="00D2370B"/>
    <w:rsid w:val="00D23C5C"/>
    <w:rsid w:val="00D23C6E"/>
    <w:rsid w:val="00D23D6E"/>
    <w:rsid w:val="00D23E99"/>
    <w:rsid w:val="00D243C0"/>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B80"/>
    <w:rsid w:val="00D26DE8"/>
    <w:rsid w:val="00D270D0"/>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340B"/>
    <w:rsid w:val="00D337E8"/>
    <w:rsid w:val="00D3381B"/>
    <w:rsid w:val="00D33B28"/>
    <w:rsid w:val="00D33BF1"/>
    <w:rsid w:val="00D33C69"/>
    <w:rsid w:val="00D34645"/>
    <w:rsid w:val="00D349DA"/>
    <w:rsid w:val="00D34B74"/>
    <w:rsid w:val="00D34EBC"/>
    <w:rsid w:val="00D34EE4"/>
    <w:rsid w:val="00D35059"/>
    <w:rsid w:val="00D35498"/>
    <w:rsid w:val="00D35830"/>
    <w:rsid w:val="00D35D4A"/>
    <w:rsid w:val="00D35E37"/>
    <w:rsid w:val="00D35EEB"/>
    <w:rsid w:val="00D35F2D"/>
    <w:rsid w:val="00D36465"/>
    <w:rsid w:val="00D36584"/>
    <w:rsid w:val="00D36636"/>
    <w:rsid w:val="00D369D6"/>
    <w:rsid w:val="00D36AE6"/>
    <w:rsid w:val="00D36C7F"/>
    <w:rsid w:val="00D36D67"/>
    <w:rsid w:val="00D36E00"/>
    <w:rsid w:val="00D36F68"/>
    <w:rsid w:val="00D370C2"/>
    <w:rsid w:val="00D3727C"/>
    <w:rsid w:val="00D372FC"/>
    <w:rsid w:val="00D37623"/>
    <w:rsid w:val="00D37A6C"/>
    <w:rsid w:val="00D37BC5"/>
    <w:rsid w:val="00D37BED"/>
    <w:rsid w:val="00D37FD9"/>
    <w:rsid w:val="00D4030A"/>
    <w:rsid w:val="00D40654"/>
    <w:rsid w:val="00D409AB"/>
    <w:rsid w:val="00D40A4D"/>
    <w:rsid w:val="00D40B67"/>
    <w:rsid w:val="00D40CF7"/>
    <w:rsid w:val="00D40DD9"/>
    <w:rsid w:val="00D40EB8"/>
    <w:rsid w:val="00D411C0"/>
    <w:rsid w:val="00D41644"/>
    <w:rsid w:val="00D41A88"/>
    <w:rsid w:val="00D41CAA"/>
    <w:rsid w:val="00D41D9E"/>
    <w:rsid w:val="00D41FB0"/>
    <w:rsid w:val="00D41FE1"/>
    <w:rsid w:val="00D42146"/>
    <w:rsid w:val="00D4233A"/>
    <w:rsid w:val="00D423CB"/>
    <w:rsid w:val="00D42457"/>
    <w:rsid w:val="00D425B5"/>
    <w:rsid w:val="00D42988"/>
    <w:rsid w:val="00D42A26"/>
    <w:rsid w:val="00D42D9D"/>
    <w:rsid w:val="00D42DF8"/>
    <w:rsid w:val="00D43BA1"/>
    <w:rsid w:val="00D43D3A"/>
    <w:rsid w:val="00D440FC"/>
    <w:rsid w:val="00D444B5"/>
    <w:rsid w:val="00D444E2"/>
    <w:rsid w:val="00D445E8"/>
    <w:rsid w:val="00D44805"/>
    <w:rsid w:val="00D44811"/>
    <w:rsid w:val="00D44ABD"/>
    <w:rsid w:val="00D44AF9"/>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6BF4"/>
    <w:rsid w:val="00D47295"/>
    <w:rsid w:val="00D474C4"/>
    <w:rsid w:val="00D47BD8"/>
    <w:rsid w:val="00D47E4F"/>
    <w:rsid w:val="00D507E9"/>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3E3"/>
    <w:rsid w:val="00D566A3"/>
    <w:rsid w:val="00D56FCF"/>
    <w:rsid w:val="00D573F7"/>
    <w:rsid w:val="00D574EC"/>
    <w:rsid w:val="00D575CE"/>
    <w:rsid w:val="00D57786"/>
    <w:rsid w:val="00D57DCC"/>
    <w:rsid w:val="00D60457"/>
    <w:rsid w:val="00D60909"/>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4186"/>
    <w:rsid w:val="00D64669"/>
    <w:rsid w:val="00D64BDF"/>
    <w:rsid w:val="00D64C96"/>
    <w:rsid w:val="00D64E22"/>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70011"/>
    <w:rsid w:val="00D7026B"/>
    <w:rsid w:val="00D702F8"/>
    <w:rsid w:val="00D70C01"/>
    <w:rsid w:val="00D71078"/>
    <w:rsid w:val="00D710C2"/>
    <w:rsid w:val="00D712E7"/>
    <w:rsid w:val="00D7197C"/>
    <w:rsid w:val="00D71DE1"/>
    <w:rsid w:val="00D72146"/>
    <w:rsid w:val="00D72234"/>
    <w:rsid w:val="00D72DB5"/>
    <w:rsid w:val="00D72EF0"/>
    <w:rsid w:val="00D732C5"/>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209"/>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967"/>
    <w:rsid w:val="00D91BD5"/>
    <w:rsid w:val="00D91C84"/>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03"/>
    <w:rsid w:val="00D94B45"/>
    <w:rsid w:val="00D94C31"/>
    <w:rsid w:val="00D94CB2"/>
    <w:rsid w:val="00D94DDC"/>
    <w:rsid w:val="00D94E73"/>
    <w:rsid w:val="00D9506E"/>
    <w:rsid w:val="00D9550F"/>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A042E"/>
    <w:rsid w:val="00DA0613"/>
    <w:rsid w:val="00DA09C8"/>
    <w:rsid w:val="00DA0A45"/>
    <w:rsid w:val="00DA0D7A"/>
    <w:rsid w:val="00DA1244"/>
    <w:rsid w:val="00DA14A4"/>
    <w:rsid w:val="00DA1682"/>
    <w:rsid w:val="00DA1763"/>
    <w:rsid w:val="00DA230C"/>
    <w:rsid w:val="00DA26CF"/>
    <w:rsid w:val="00DA2C2D"/>
    <w:rsid w:val="00DA2FCB"/>
    <w:rsid w:val="00DA3010"/>
    <w:rsid w:val="00DA30BA"/>
    <w:rsid w:val="00DA3373"/>
    <w:rsid w:val="00DA3703"/>
    <w:rsid w:val="00DA38C7"/>
    <w:rsid w:val="00DA3A78"/>
    <w:rsid w:val="00DA3C9F"/>
    <w:rsid w:val="00DA3F8E"/>
    <w:rsid w:val="00DA3FCB"/>
    <w:rsid w:val="00DA4067"/>
    <w:rsid w:val="00DA43A8"/>
    <w:rsid w:val="00DA46E8"/>
    <w:rsid w:val="00DA4A33"/>
    <w:rsid w:val="00DA4D3A"/>
    <w:rsid w:val="00DA4EDF"/>
    <w:rsid w:val="00DA5068"/>
    <w:rsid w:val="00DA51C7"/>
    <w:rsid w:val="00DA5345"/>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7CF"/>
    <w:rsid w:val="00DA7A4D"/>
    <w:rsid w:val="00DA7DE8"/>
    <w:rsid w:val="00DB0328"/>
    <w:rsid w:val="00DB03FD"/>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400"/>
    <w:rsid w:val="00DC1957"/>
    <w:rsid w:val="00DC1B22"/>
    <w:rsid w:val="00DC1F3D"/>
    <w:rsid w:val="00DC227A"/>
    <w:rsid w:val="00DC232A"/>
    <w:rsid w:val="00DC26F2"/>
    <w:rsid w:val="00DC2757"/>
    <w:rsid w:val="00DC2913"/>
    <w:rsid w:val="00DC2F81"/>
    <w:rsid w:val="00DC3102"/>
    <w:rsid w:val="00DC3724"/>
    <w:rsid w:val="00DC3BF2"/>
    <w:rsid w:val="00DC403B"/>
    <w:rsid w:val="00DC41CC"/>
    <w:rsid w:val="00DC4226"/>
    <w:rsid w:val="00DC4227"/>
    <w:rsid w:val="00DC4269"/>
    <w:rsid w:val="00DC44C1"/>
    <w:rsid w:val="00DC4717"/>
    <w:rsid w:val="00DC47EC"/>
    <w:rsid w:val="00DC497D"/>
    <w:rsid w:val="00DC4D22"/>
    <w:rsid w:val="00DC4F77"/>
    <w:rsid w:val="00DC4F8B"/>
    <w:rsid w:val="00DC4F93"/>
    <w:rsid w:val="00DC50BE"/>
    <w:rsid w:val="00DC55AA"/>
    <w:rsid w:val="00DC56B5"/>
    <w:rsid w:val="00DC5817"/>
    <w:rsid w:val="00DC592D"/>
    <w:rsid w:val="00DC5C85"/>
    <w:rsid w:val="00DC5CEB"/>
    <w:rsid w:val="00DC6824"/>
    <w:rsid w:val="00DC684F"/>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743"/>
    <w:rsid w:val="00DD17DE"/>
    <w:rsid w:val="00DD1A22"/>
    <w:rsid w:val="00DD1E24"/>
    <w:rsid w:val="00DD1F30"/>
    <w:rsid w:val="00DD21A7"/>
    <w:rsid w:val="00DD2809"/>
    <w:rsid w:val="00DD2883"/>
    <w:rsid w:val="00DD2A3C"/>
    <w:rsid w:val="00DD2BE1"/>
    <w:rsid w:val="00DD2C22"/>
    <w:rsid w:val="00DD2C3F"/>
    <w:rsid w:val="00DD2C6D"/>
    <w:rsid w:val="00DD31BD"/>
    <w:rsid w:val="00DD32C7"/>
    <w:rsid w:val="00DD3A96"/>
    <w:rsid w:val="00DD3C38"/>
    <w:rsid w:val="00DD3DC4"/>
    <w:rsid w:val="00DD3E43"/>
    <w:rsid w:val="00DD43D8"/>
    <w:rsid w:val="00DD44CC"/>
    <w:rsid w:val="00DD45EE"/>
    <w:rsid w:val="00DD46C1"/>
    <w:rsid w:val="00DD474E"/>
    <w:rsid w:val="00DD491C"/>
    <w:rsid w:val="00DD4A04"/>
    <w:rsid w:val="00DD5034"/>
    <w:rsid w:val="00DD5305"/>
    <w:rsid w:val="00DD563E"/>
    <w:rsid w:val="00DD5692"/>
    <w:rsid w:val="00DD56B6"/>
    <w:rsid w:val="00DD5FEB"/>
    <w:rsid w:val="00DD6216"/>
    <w:rsid w:val="00DD68C1"/>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2D9A"/>
    <w:rsid w:val="00DE306A"/>
    <w:rsid w:val="00DE3139"/>
    <w:rsid w:val="00DE3330"/>
    <w:rsid w:val="00DE3335"/>
    <w:rsid w:val="00DE34F7"/>
    <w:rsid w:val="00DE366D"/>
    <w:rsid w:val="00DE395E"/>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5E8"/>
    <w:rsid w:val="00DF06DB"/>
    <w:rsid w:val="00DF08BA"/>
    <w:rsid w:val="00DF0B76"/>
    <w:rsid w:val="00DF1202"/>
    <w:rsid w:val="00DF1751"/>
    <w:rsid w:val="00DF1A64"/>
    <w:rsid w:val="00DF1A88"/>
    <w:rsid w:val="00DF1AA5"/>
    <w:rsid w:val="00DF1DF1"/>
    <w:rsid w:val="00DF21F7"/>
    <w:rsid w:val="00DF236C"/>
    <w:rsid w:val="00DF2580"/>
    <w:rsid w:val="00DF2917"/>
    <w:rsid w:val="00DF2DFB"/>
    <w:rsid w:val="00DF308B"/>
    <w:rsid w:val="00DF332D"/>
    <w:rsid w:val="00DF35C7"/>
    <w:rsid w:val="00DF3632"/>
    <w:rsid w:val="00DF3AA6"/>
    <w:rsid w:val="00DF3AE2"/>
    <w:rsid w:val="00DF3B0A"/>
    <w:rsid w:val="00DF3B4D"/>
    <w:rsid w:val="00DF437B"/>
    <w:rsid w:val="00DF43C0"/>
    <w:rsid w:val="00DF43D4"/>
    <w:rsid w:val="00DF4401"/>
    <w:rsid w:val="00DF46D6"/>
    <w:rsid w:val="00DF46F1"/>
    <w:rsid w:val="00DF483D"/>
    <w:rsid w:val="00DF4923"/>
    <w:rsid w:val="00DF4CE1"/>
    <w:rsid w:val="00DF4DF8"/>
    <w:rsid w:val="00DF4F0C"/>
    <w:rsid w:val="00DF5170"/>
    <w:rsid w:val="00DF527F"/>
    <w:rsid w:val="00DF5329"/>
    <w:rsid w:val="00DF571A"/>
    <w:rsid w:val="00DF60E2"/>
    <w:rsid w:val="00DF619C"/>
    <w:rsid w:val="00DF62F2"/>
    <w:rsid w:val="00DF6632"/>
    <w:rsid w:val="00DF67A6"/>
    <w:rsid w:val="00DF682B"/>
    <w:rsid w:val="00DF737A"/>
    <w:rsid w:val="00DF76DE"/>
    <w:rsid w:val="00DF781B"/>
    <w:rsid w:val="00DF78FC"/>
    <w:rsid w:val="00DF795D"/>
    <w:rsid w:val="00DF7D1A"/>
    <w:rsid w:val="00DF7FF1"/>
    <w:rsid w:val="00E0001B"/>
    <w:rsid w:val="00E001EA"/>
    <w:rsid w:val="00E0025C"/>
    <w:rsid w:val="00E002EE"/>
    <w:rsid w:val="00E005CB"/>
    <w:rsid w:val="00E00760"/>
    <w:rsid w:val="00E00B12"/>
    <w:rsid w:val="00E01178"/>
    <w:rsid w:val="00E012F5"/>
    <w:rsid w:val="00E01A71"/>
    <w:rsid w:val="00E022E6"/>
    <w:rsid w:val="00E0232A"/>
    <w:rsid w:val="00E02480"/>
    <w:rsid w:val="00E029A9"/>
    <w:rsid w:val="00E02B57"/>
    <w:rsid w:val="00E0342F"/>
    <w:rsid w:val="00E03A6C"/>
    <w:rsid w:val="00E03AEC"/>
    <w:rsid w:val="00E03C09"/>
    <w:rsid w:val="00E03D94"/>
    <w:rsid w:val="00E03DCF"/>
    <w:rsid w:val="00E03DD2"/>
    <w:rsid w:val="00E03E2A"/>
    <w:rsid w:val="00E04125"/>
    <w:rsid w:val="00E046B9"/>
    <w:rsid w:val="00E04E42"/>
    <w:rsid w:val="00E04ED6"/>
    <w:rsid w:val="00E04EFC"/>
    <w:rsid w:val="00E0542B"/>
    <w:rsid w:val="00E05738"/>
    <w:rsid w:val="00E05BFA"/>
    <w:rsid w:val="00E05CEE"/>
    <w:rsid w:val="00E06120"/>
    <w:rsid w:val="00E061D0"/>
    <w:rsid w:val="00E0641F"/>
    <w:rsid w:val="00E06441"/>
    <w:rsid w:val="00E066D3"/>
    <w:rsid w:val="00E066D7"/>
    <w:rsid w:val="00E071D1"/>
    <w:rsid w:val="00E07224"/>
    <w:rsid w:val="00E072B9"/>
    <w:rsid w:val="00E07542"/>
    <w:rsid w:val="00E07A0D"/>
    <w:rsid w:val="00E07B51"/>
    <w:rsid w:val="00E07C18"/>
    <w:rsid w:val="00E07F4C"/>
    <w:rsid w:val="00E07F56"/>
    <w:rsid w:val="00E1045B"/>
    <w:rsid w:val="00E10A15"/>
    <w:rsid w:val="00E10A6F"/>
    <w:rsid w:val="00E10AE5"/>
    <w:rsid w:val="00E110A1"/>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916"/>
    <w:rsid w:val="00E1499F"/>
    <w:rsid w:val="00E149FA"/>
    <w:rsid w:val="00E14D75"/>
    <w:rsid w:val="00E14E2A"/>
    <w:rsid w:val="00E153AC"/>
    <w:rsid w:val="00E153CD"/>
    <w:rsid w:val="00E15661"/>
    <w:rsid w:val="00E15A2C"/>
    <w:rsid w:val="00E15DD0"/>
    <w:rsid w:val="00E15FA5"/>
    <w:rsid w:val="00E161B5"/>
    <w:rsid w:val="00E164D2"/>
    <w:rsid w:val="00E165FD"/>
    <w:rsid w:val="00E166DE"/>
    <w:rsid w:val="00E1693B"/>
    <w:rsid w:val="00E16BB6"/>
    <w:rsid w:val="00E16C72"/>
    <w:rsid w:val="00E16F5F"/>
    <w:rsid w:val="00E17239"/>
    <w:rsid w:val="00E17444"/>
    <w:rsid w:val="00E1771A"/>
    <w:rsid w:val="00E17BDE"/>
    <w:rsid w:val="00E17E90"/>
    <w:rsid w:val="00E204E7"/>
    <w:rsid w:val="00E206BA"/>
    <w:rsid w:val="00E206BE"/>
    <w:rsid w:val="00E20A67"/>
    <w:rsid w:val="00E20B76"/>
    <w:rsid w:val="00E20CF0"/>
    <w:rsid w:val="00E20D6B"/>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270"/>
    <w:rsid w:val="00E23361"/>
    <w:rsid w:val="00E239C6"/>
    <w:rsid w:val="00E23A5C"/>
    <w:rsid w:val="00E23B1A"/>
    <w:rsid w:val="00E23B88"/>
    <w:rsid w:val="00E23BBC"/>
    <w:rsid w:val="00E2403E"/>
    <w:rsid w:val="00E2447C"/>
    <w:rsid w:val="00E24D66"/>
    <w:rsid w:val="00E24FDC"/>
    <w:rsid w:val="00E250E5"/>
    <w:rsid w:val="00E2539C"/>
    <w:rsid w:val="00E25768"/>
    <w:rsid w:val="00E25904"/>
    <w:rsid w:val="00E25CF0"/>
    <w:rsid w:val="00E264E3"/>
    <w:rsid w:val="00E265E1"/>
    <w:rsid w:val="00E26A9D"/>
    <w:rsid w:val="00E26BCA"/>
    <w:rsid w:val="00E27032"/>
    <w:rsid w:val="00E274E2"/>
    <w:rsid w:val="00E27802"/>
    <w:rsid w:val="00E279A2"/>
    <w:rsid w:val="00E27DD2"/>
    <w:rsid w:val="00E30FA5"/>
    <w:rsid w:val="00E3104F"/>
    <w:rsid w:val="00E31290"/>
    <w:rsid w:val="00E312C4"/>
    <w:rsid w:val="00E31426"/>
    <w:rsid w:val="00E31856"/>
    <w:rsid w:val="00E31922"/>
    <w:rsid w:val="00E3199E"/>
    <w:rsid w:val="00E31D6A"/>
    <w:rsid w:val="00E31E27"/>
    <w:rsid w:val="00E31E46"/>
    <w:rsid w:val="00E323C4"/>
    <w:rsid w:val="00E32531"/>
    <w:rsid w:val="00E3274A"/>
    <w:rsid w:val="00E32750"/>
    <w:rsid w:val="00E32846"/>
    <w:rsid w:val="00E32878"/>
    <w:rsid w:val="00E32F85"/>
    <w:rsid w:val="00E32F8C"/>
    <w:rsid w:val="00E32FA8"/>
    <w:rsid w:val="00E3305E"/>
    <w:rsid w:val="00E332D7"/>
    <w:rsid w:val="00E332EF"/>
    <w:rsid w:val="00E3343D"/>
    <w:rsid w:val="00E335D7"/>
    <w:rsid w:val="00E33B03"/>
    <w:rsid w:val="00E33F9E"/>
    <w:rsid w:val="00E341C0"/>
    <w:rsid w:val="00E34631"/>
    <w:rsid w:val="00E34750"/>
    <w:rsid w:val="00E35C56"/>
    <w:rsid w:val="00E3612B"/>
    <w:rsid w:val="00E36276"/>
    <w:rsid w:val="00E36278"/>
    <w:rsid w:val="00E363CD"/>
    <w:rsid w:val="00E366C4"/>
    <w:rsid w:val="00E36C23"/>
    <w:rsid w:val="00E36D93"/>
    <w:rsid w:val="00E373C7"/>
    <w:rsid w:val="00E376CC"/>
    <w:rsid w:val="00E376D5"/>
    <w:rsid w:val="00E37933"/>
    <w:rsid w:val="00E4058C"/>
    <w:rsid w:val="00E40896"/>
    <w:rsid w:val="00E40DF8"/>
    <w:rsid w:val="00E41288"/>
    <w:rsid w:val="00E42338"/>
    <w:rsid w:val="00E42430"/>
    <w:rsid w:val="00E4281D"/>
    <w:rsid w:val="00E4298A"/>
    <w:rsid w:val="00E42B2F"/>
    <w:rsid w:val="00E42C35"/>
    <w:rsid w:val="00E42E10"/>
    <w:rsid w:val="00E42E93"/>
    <w:rsid w:val="00E43296"/>
    <w:rsid w:val="00E43418"/>
    <w:rsid w:val="00E4358C"/>
    <w:rsid w:val="00E435AD"/>
    <w:rsid w:val="00E4375F"/>
    <w:rsid w:val="00E43DDE"/>
    <w:rsid w:val="00E43E57"/>
    <w:rsid w:val="00E4412B"/>
    <w:rsid w:val="00E449DF"/>
    <w:rsid w:val="00E44FBD"/>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69E"/>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0B03"/>
    <w:rsid w:val="00E610C5"/>
    <w:rsid w:val="00E6116B"/>
    <w:rsid w:val="00E6138A"/>
    <w:rsid w:val="00E61559"/>
    <w:rsid w:val="00E618F6"/>
    <w:rsid w:val="00E6191D"/>
    <w:rsid w:val="00E61FD7"/>
    <w:rsid w:val="00E620A7"/>
    <w:rsid w:val="00E620D1"/>
    <w:rsid w:val="00E6245A"/>
    <w:rsid w:val="00E62471"/>
    <w:rsid w:val="00E626B1"/>
    <w:rsid w:val="00E6277B"/>
    <w:rsid w:val="00E627E5"/>
    <w:rsid w:val="00E6295C"/>
    <w:rsid w:val="00E62C42"/>
    <w:rsid w:val="00E62E2F"/>
    <w:rsid w:val="00E636D0"/>
    <w:rsid w:val="00E63972"/>
    <w:rsid w:val="00E63D83"/>
    <w:rsid w:val="00E63E79"/>
    <w:rsid w:val="00E64147"/>
    <w:rsid w:val="00E64A69"/>
    <w:rsid w:val="00E64AC7"/>
    <w:rsid w:val="00E64B50"/>
    <w:rsid w:val="00E655D3"/>
    <w:rsid w:val="00E65E10"/>
    <w:rsid w:val="00E6601E"/>
    <w:rsid w:val="00E665B7"/>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C4F"/>
    <w:rsid w:val="00E71DF0"/>
    <w:rsid w:val="00E720A7"/>
    <w:rsid w:val="00E722EF"/>
    <w:rsid w:val="00E72373"/>
    <w:rsid w:val="00E723EC"/>
    <w:rsid w:val="00E728D8"/>
    <w:rsid w:val="00E72D63"/>
    <w:rsid w:val="00E7303D"/>
    <w:rsid w:val="00E7323F"/>
    <w:rsid w:val="00E7373B"/>
    <w:rsid w:val="00E73A80"/>
    <w:rsid w:val="00E73FEB"/>
    <w:rsid w:val="00E7450D"/>
    <w:rsid w:val="00E752B2"/>
    <w:rsid w:val="00E753CE"/>
    <w:rsid w:val="00E7568A"/>
    <w:rsid w:val="00E75A4B"/>
    <w:rsid w:val="00E76019"/>
    <w:rsid w:val="00E76326"/>
    <w:rsid w:val="00E766E4"/>
    <w:rsid w:val="00E767F2"/>
    <w:rsid w:val="00E7696E"/>
    <w:rsid w:val="00E76DE0"/>
    <w:rsid w:val="00E771DA"/>
    <w:rsid w:val="00E7770F"/>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519"/>
    <w:rsid w:val="00E8394E"/>
    <w:rsid w:val="00E83FC1"/>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87862"/>
    <w:rsid w:val="00E879F7"/>
    <w:rsid w:val="00E87B01"/>
    <w:rsid w:val="00E9045C"/>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5D6"/>
    <w:rsid w:val="00E94642"/>
    <w:rsid w:val="00E94957"/>
    <w:rsid w:val="00E949FB"/>
    <w:rsid w:val="00E94CE9"/>
    <w:rsid w:val="00E951E1"/>
    <w:rsid w:val="00E95CA5"/>
    <w:rsid w:val="00E9624B"/>
    <w:rsid w:val="00E96613"/>
    <w:rsid w:val="00E966BF"/>
    <w:rsid w:val="00E96A00"/>
    <w:rsid w:val="00E972DD"/>
    <w:rsid w:val="00E9735F"/>
    <w:rsid w:val="00E974E0"/>
    <w:rsid w:val="00E97B09"/>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681"/>
    <w:rsid w:val="00EA388C"/>
    <w:rsid w:val="00EA3B51"/>
    <w:rsid w:val="00EA3D60"/>
    <w:rsid w:val="00EA4227"/>
    <w:rsid w:val="00EA45BF"/>
    <w:rsid w:val="00EA4824"/>
    <w:rsid w:val="00EA4EC4"/>
    <w:rsid w:val="00EA4F63"/>
    <w:rsid w:val="00EA59DB"/>
    <w:rsid w:val="00EA5D51"/>
    <w:rsid w:val="00EA63F1"/>
    <w:rsid w:val="00EA64B9"/>
    <w:rsid w:val="00EA652A"/>
    <w:rsid w:val="00EA6A01"/>
    <w:rsid w:val="00EA6A57"/>
    <w:rsid w:val="00EA6B98"/>
    <w:rsid w:val="00EA73E8"/>
    <w:rsid w:val="00EA7635"/>
    <w:rsid w:val="00EA771E"/>
    <w:rsid w:val="00EA7CA5"/>
    <w:rsid w:val="00EA7E44"/>
    <w:rsid w:val="00EA7F3B"/>
    <w:rsid w:val="00EB034D"/>
    <w:rsid w:val="00EB0A71"/>
    <w:rsid w:val="00EB0D55"/>
    <w:rsid w:val="00EB10FE"/>
    <w:rsid w:val="00EB1236"/>
    <w:rsid w:val="00EB1700"/>
    <w:rsid w:val="00EB17C0"/>
    <w:rsid w:val="00EB18A0"/>
    <w:rsid w:val="00EB19B9"/>
    <w:rsid w:val="00EB1AD9"/>
    <w:rsid w:val="00EB1C84"/>
    <w:rsid w:val="00EB1CB0"/>
    <w:rsid w:val="00EB21E0"/>
    <w:rsid w:val="00EB2531"/>
    <w:rsid w:val="00EB2848"/>
    <w:rsid w:val="00EB2B8A"/>
    <w:rsid w:val="00EB359F"/>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BEA"/>
    <w:rsid w:val="00EB5C61"/>
    <w:rsid w:val="00EB5CE9"/>
    <w:rsid w:val="00EB6276"/>
    <w:rsid w:val="00EB62F6"/>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1CE"/>
    <w:rsid w:val="00EC233C"/>
    <w:rsid w:val="00EC23C5"/>
    <w:rsid w:val="00EC25E2"/>
    <w:rsid w:val="00EC2C13"/>
    <w:rsid w:val="00EC2F72"/>
    <w:rsid w:val="00EC2F77"/>
    <w:rsid w:val="00EC35A3"/>
    <w:rsid w:val="00EC35D4"/>
    <w:rsid w:val="00EC36B9"/>
    <w:rsid w:val="00EC37B7"/>
    <w:rsid w:val="00EC39D1"/>
    <w:rsid w:val="00EC3A25"/>
    <w:rsid w:val="00EC3ACF"/>
    <w:rsid w:val="00EC3CF4"/>
    <w:rsid w:val="00EC3D91"/>
    <w:rsid w:val="00EC3DEF"/>
    <w:rsid w:val="00EC420D"/>
    <w:rsid w:val="00EC4B06"/>
    <w:rsid w:val="00EC4B34"/>
    <w:rsid w:val="00EC4B69"/>
    <w:rsid w:val="00EC5318"/>
    <w:rsid w:val="00EC5321"/>
    <w:rsid w:val="00EC5A5B"/>
    <w:rsid w:val="00EC5B8C"/>
    <w:rsid w:val="00EC5C90"/>
    <w:rsid w:val="00EC5F0C"/>
    <w:rsid w:val="00EC63C2"/>
    <w:rsid w:val="00EC63D5"/>
    <w:rsid w:val="00EC6518"/>
    <w:rsid w:val="00EC6880"/>
    <w:rsid w:val="00EC6AB7"/>
    <w:rsid w:val="00EC6D6B"/>
    <w:rsid w:val="00EC6DB3"/>
    <w:rsid w:val="00EC6F01"/>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3AE"/>
    <w:rsid w:val="00ED3A85"/>
    <w:rsid w:val="00ED3BB8"/>
    <w:rsid w:val="00ED40A0"/>
    <w:rsid w:val="00ED4576"/>
    <w:rsid w:val="00ED4836"/>
    <w:rsid w:val="00ED49AF"/>
    <w:rsid w:val="00ED4C28"/>
    <w:rsid w:val="00ED4C41"/>
    <w:rsid w:val="00ED4DD8"/>
    <w:rsid w:val="00ED54F2"/>
    <w:rsid w:val="00ED590E"/>
    <w:rsid w:val="00ED5914"/>
    <w:rsid w:val="00ED59C0"/>
    <w:rsid w:val="00ED5E8E"/>
    <w:rsid w:val="00ED5FE8"/>
    <w:rsid w:val="00ED64E5"/>
    <w:rsid w:val="00ED6915"/>
    <w:rsid w:val="00ED6AE0"/>
    <w:rsid w:val="00ED6C0F"/>
    <w:rsid w:val="00ED6C9E"/>
    <w:rsid w:val="00ED6D09"/>
    <w:rsid w:val="00ED6EAD"/>
    <w:rsid w:val="00ED70E6"/>
    <w:rsid w:val="00ED7247"/>
    <w:rsid w:val="00ED7596"/>
    <w:rsid w:val="00ED76A6"/>
    <w:rsid w:val="00ED776B"/>
    <w:rsid w:val="00ED7792"/>
    <w:rsid w:val="00ED784E"/>
    <w:rsid w:val="00ED7C1B"/>
    <w:rsid w:val="00ED7D93"/>
    <w:rsid w:val="00EE013C"/>
    <w:rsid w:val="00EE0304"/>
    <w:rsid w:val="00EE0480"/>
    <w:rsid w:val="00EE062C"/>
    <w:rsid w:val="00EE06F6"/>
    <w:rsid w:val="00EE0712"/>
    <w:rsid w:val="00EE079B"/>
    <w:rsid w:val="00EE089C"/>
    <w:rsid w:val="00EE0B2D"/>
    <w:rsid w:val="00EE0C18"/>
    <w:rsid w:val="00EE0CC8"/>
    <w:rsid w:val="00EE0E95"/>
    <w:rsid w:val="00EE10FD"/>
    <w:rsid w:val="00EE1560"/>
    <w:rsid w:val="00EE17DD"/>
    <w:rsid w:val="00EE1A15"/>
    <w:rsid w:val="00EE1DB3"/>
    <w:rsid w:val="00EE2396"/>
    <w:rsid w:val="00EE28AA"/>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09F"/>
    <w:rsid w:val="00EE725E"/>
    <w:rsid w:val="00EE73F0"/>
    <w:rsid w:val="00EE78E9"/>
    <w:rsid w:val="00EE7AB9"/>
    <w:rsid w:val="00EE7CE2"/>
    <w:rsid w:val="00EE7D66"/>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AB"/>
    <w:rsid w:val="00EF339A"/>
    <w:rsid w:val="00EF344E"/>
    <w:rsid w:val="00EF3C0D"/>
    <w:rsid w:val="00EF41D7"/>
    <w:rsid w:val="00EF4672"/>
    <w:rsid w:val="00EF487D"/>
    <w:rsid w:val="00EF49C7"/>
    <w:rsid w:val="00EF4F4D"/>
    <w:rsid w:val="00EF500D"/>
    <w:rsid w:val="00EF515D"/>
    <w:rsid w:val="00EF5181"/>
    <w:rsid w:val="00EF5484"/>
    <w:rsid w:val="00EF573B"/>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DAB"/>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64F"/>
    <w:rsid w:val="00F07802"/>
    <w:rsid w:val="00F0783C"/>
    <w:rsid w:val="00F07AA8"/>
    <w:rsid w:val="00F07CF2"/>
    <w:rsid w:val="00F07EA6"/>
    <w:rsid w:val="00F07EB5"/>
    <w:rsid w:val="00F07ED2"/>
    <w:rsid w:val="00F10373"/>
    <w:rsid w:val="00F103CA"/>
    <w:rsid w:val="00F10865"/>
    <w:rsid w:val="00F1092F"/>
    <w:rsid w:val="00F10AA5"/>
    <w:rsid w:val="00F10ABE"/>
    <w:rsid w:val="00F10E2E"/>
    <w:rsid w:val="00F11172"/>
    <w:rsid w:val="00F1131E"/>
    <w:rsid w:val="00F11973"/>
    <w:rsid w:val="00F11979"/>
    <w:rsid w:val="00F11CED"/>
    <w:rsid w:val="00F11E47"/>
    <w:rsid w:val="00F127F2"/>
    <w:rsid w:val="00F12BEC"/>
    <w:rsid w:val="00F12F54"/>
    <w:rsid w:val="00F13275"/>
    <w:rsid w:val="00F13340"/>
    <w:rsid w:val="00F13508"/>
    <w:rsid w:val="00F13719"/>
    <w:rsid w:val="00F1389F"/>
    <w:rsid w:val="00F1393E"/>
    <w:rsid w:val="00F13B46"/>
    <w:rsid w:val="00F13C76"/>
    <w:rsid w:val="00F13E83"/>
    <w:rsid w:val="00F13F54"/>
    <w:rsid w:val="00F142BB"/>
    <w:rsid w:val="00F142EF"/>
    <w:rsid w:val="00F143EF"/>
    <w:rsid w:val="00F14596"/>
    <w:rsid w:val="00F1482A"/>
    <w:rsid w:val="00F148DC"/>
    <w:rsid w:val="00F14920"/>
    <w:rsid w:val="00F14965"/>
    <w:rsid w:val="00F14AF9"/>
    <w:rsid w:val="00F15041"/>
    <w:rsid w:val="00F155BC"/>
    <w:rsid w:val="00F156B9"/>
    <w:rsid w:val="00F15A25"/>
    <w:rsid w:val="00F15A9C"/>
    <w:rsid w:val="00F15C7C"/>
    <w:rsid w:val="00F15EA4"/>
    <w:rsid w:val="00F16229"/>
    <w:rsid w:val="00F1652B"/>
    <w:rsid w:val="00F166EE"/>
    <w:rsid w:val="00F169C8"/>
    <w:rsid w:val="00F16CF5"/>
    <w:rsid w:val="00F16EBE"/>
    <w:rsid w:val="00F16FD7"/>
    <w:rsid w:val="00F17153"/>
    <w:rsid w:val="00F17231"/>
    <w:rsid w:val="00F174A3"/>
    <w:rsid w:val="00F17BE6"/>
    <w:rsid w:val="00F17C76"/>
    <w:rsid w:val="00F17D42"/>
    <w:rsid w:val="00F17F17"/>
    <w:rsid w:val="00F200F7"/>
    <w:rsid w:val="00F202E4"/>
    <w:rsid w:val="00F2083F"/>
    <w:rsid w:val="00F20849"/>
    <w:rsid w:val="00F209D1"/>
    <w:rsid w:val="00F20A9C"/>
    <w:rsid w:val="00F20BA5"/>
    <w:rsid w:val="00F21220"/>
    <w:rsid w:val="00F21819"/>
    <w:rsid w:val="00F21844"/>
    <w:rsid w:val="00F218B1"/>
    <w:rsid w:val="00F21F7B"/>
    <w:rsid w:val="00F21FB3"/>
    <w:rsid w:val="00F221A4"/>
    <w:rsid w:val="00F2222B"/>
    <w:rsid w:val="00F223A8"/>
    <w:rsid w:val="00F224BC"/>
    <w:rsid w:val="00F2251E"/>
    <w:rsid w:val="00F22599"/>
    <w:rsid w:val="00F22777"/>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9A5"/>
    <w:rsid w:val="00F259BD"/>
    <w:rsid w:val="00F25BD9"/>
    <w:rsid w:val="00F25D36"/>
    <w:rsid w:val="00F25DAA"/>
    <w:rsid w:val="00F25E91"/>
    <w:rsid w:val="00F25F75"/>
    <w:rsid w:val="00F26157"/>
    <w:rsid w:val="00F26284"/>
    <w:rsid w:val="00F262CC"/>
    <w:rsid w:val="00F26648"/>
    <w:rsid w:val="00F268B3"/>
    <w:rsid w:val="00F26BCB"/>
    <w:rsid w:val="00F26C62"/>
    <w:rsid w:val="00F26DFC"/>
    <w:rsid w:val="00F26E20"/>
    <w:rsid w:val="00F26E5F"/>
    <w:rsid w:val="00F27874"/>
    <w:rsid w:val="00F27B71"/>
    <w:rsid w:val="00F27BA7"/>
    <w:rsid w:val="00F27C2F"/>
    <w:rsid w:val="00F27F8D"/>
    <w:rsid w:val="00F301B8"/>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431"/>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6B97"/>
    <w:rsid w:val="00F37520"/>
    <w:rsid w:val="00F3798D"/>
    <w:rsid w:val="00F37C37"/>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302D"/>
    <w:rsid w:val="00F4306F"/>
    <w:rsid w:val="00F4314E"/>
    <w:rsid w:val="00F4321F"/>
    <w:rsid w:val="00F43294"/>
    <w:rsid w:val="00F432C3"/>
    <w:rsid w:val="00F433C2"/>
    <w:rsid w:val="00F4387E"/>
    <w:rsid w:val="00F43983"/>
    <w:rsid w:val="00F43999"/>
    <w:rsid w:val="00F43F6E"/>
    <w:rsid w:val="00F43FD2"/>
    <w:rsid w:val="00F444B9"/>
    <w:rsid w:val="00F4454E"/>
    <w:rsid w:val="00F4461E"/>
    <w:rsid w:val="00F44ABC"/>
    <w:rsid w:val="00F44E9A"/>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A2"/>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27C"/>
    <w:rsid w:val="00F523BF"/>
    <w:rsid w:val="00F527EF"/>
    <w:rsid w:val="00F5288B"/>
    <w:rsid w:val="00F52AC5"/>
    <w:rsid w:val="00F52C0F"/>
    <w:rsid w:val="00F52F97"/>
    <w:rsid w:val="00F53488"/>
    <w:rsid w:val="00F53A44"/>
    <w:rsid w:val="00F53BC3"/>
    <w:rsid w:val="00F54226"/>
    <w:rsid w:val="00F54265"/>
    <w:rsid w:val="00F54BB5"/>
    <w:rsid w:val="00F54C29"/>
    <w:rsid w:val="00F5533B"/>
    <w:rsid w:val="00F55769"/>
    <w:rsid w:val="00F56079"/>
    <w:rsid w:val="00F561E1"/>
    <w:rsid w:val="00F56245"/>
    <w:rsid w:val="00F5648C"/>
    <w:rsid w:val="00F56497"/>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4C1A"/>
    <w:rsid w:val="00F6588D"/>
    <w:rsid w:val="00F658A3"/>
    <w:rsid w:val="00F661CB"/>
    <w:rsid w:val="00F66201"/>
    <w:rsid w:val="00F663CB"/>
    <w:rsid w:val="00F6666F"/>
    <w:rsid w:val="00F66DB6"/>
    <w:rsid w:val="00F6763C"/>
    <w:rsid w:val="00F6791C"/>
    <w:rsid w:val="00F67AB2"/>
    <w:rsid w:val="00F67C20"/>
    <w:rsid w:val="00F67D33"/>
    <w:rsid w:val="00F7029C"/>
    <w:rsid w:val="00F70462"/>
    <w:rsid w:val="00F70A70"/>
    <w:rsid w:val="00F70B6E"/>
    <w:rsid w:val="00F7109D"/>
    <w:rsid w:val="00F71103"/>
    <w:rsid w:val="00F71241"/>
    <w:rsid w:val="00F71684"/>
    <w:rsid w:val="00F7188E"/>
    <w:rsid w:val="00F71F4D"/>
    <w:rsid w:val="00F71FAB"/>
    <w:rsid w:val="00F72102"/>
    <w:rsid w:val="00F72107"/>
    <w:rsid w:val="00F721BE"/>
    <w:rsid w:val="00F72693"/>
    <w:rsid w:val="00F72D81"/>
    <w:rsid w:val="00F7320D"/>
    <w:rsid w:val="00F73549"/>
    <w:rsid w:val="00F7360C"/>
    <w:rsid w:val="00F73631"/>
    <w:rsid w:val="00F73768"/>
    <w:rsid w:val="00F73B6D"/>
    <w:rsid w:val="00F73C63"/>
    <w:rsid w:val="00F74211"/>
    <w:rsid w:val="00F745BD"/>
    <w:rsid w:val="00F74AD8"/>
    <w:rsid w:val="00F74D14"/>
    <w:rsid w:val="00F75283"/>
    <w:rsid w:val="00F75467"/>
    <w:rsid w:val="00F75594"/>
    <w:rsid w:val="00F755B4"/>
    <w:rsid w:val="00F75B94"/>
    <w:rsid w:val="00F75C2E"/>
    <w:rsid w:val="00F75CA3"/>
    <w:rsid w:val="00F75D7C"/>
    <w:rsid w:val="00F75FAC"/>
    <w:rsid w:val="00F76126"/>
    <w:rsid w:val="00F76178"/>
    <w:rsid w:val="00F762F4"/>
    <w:rsid w:val="00F76300"/>
    <w:rsid w:val="00F767B8"/>
    <w:rsid w:val="00F76F2A"/>
    <w:rsid w:val="00F77C8B"/>
    <w:rsid w:val="00F77C93"/>
    <w:rsid w:val="00F77CC1"/>
    <w:rsid w:val="00F80463"/>
    <w:rsid w:val="00F808D7"/>
    <w:rsid w:val="00F80C9C"/>
    <w:rsid w:val="00F80F2A"/>
    <w:rsid w:val="00F81098"/>
    <w:rsid w:val="00F81B52"/>
    <w:rsid w:val="00F81F43"/>
    <w:rsid w:val="00F821A3"/>
    <w:rsid w:val="00F8253D"/>
    <w:rsid w:val="00F8277D"/>
    <w:rsid w:val="00F8282F"/>
    <w:rsid w:val="00F82AFE"/>
    <w:rsid w:val="00F82FCB"/>
    <w:rsid w:val="00F834E3"/>
    <w:rsid w:val="00F834E8"/>
    <w:rsid w:val="00F83A16"/>
    <w:rsid w:val="00F83F1F"/>
    <w:rsid w:val="00F84000"/>
    <w:rsid w:val="00F840AE"/>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1F50"/>
    <w:rsid w:val="00F921E5"/>
    <w:rsid w:val="00F922C2"/>
    <w:rsid w:val="00F9253F"/>
    <w:rsid w:val="00F926AE"/>
    <w:rsid w:val="00F926C8"/>
    <w:rsid w:val="00F92917"/>
    <w:rsid w:val="00F92B87"/>
    <w:rsid w:val="00F92DAA"/>
    <w:rsid w:val="00F92DE6"/>
    <w:rsid w:val="00F92F03"/>
    <w:rsid w:val="00F93563"/>
    <w:rsid w:val="00F93A86"/>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E7D"/>
    <w:rsid w:val="00F96F4C"/>
    <w:rsid w:val="00F977EF"/>
    <w:rsid w:val="00F978C5"/>
    <w:rsid w:val="00F97A71"/>
    <w:rsid w:val="00F97F90"/>
    <w:rsid w:val="00FA0008"/>
    <w:rsid w:val="00FA0022"/>
    <w:rsid w:val="00FA017E"/>
    <w:rsid w:val="00FA0199"/>
    <w:rsid w:val="00FA070E"/>
    <w:rsid w:val="00FA0B4C"/>
    <w:rsid w:val="00FA0E55"/>
    <w:rsid w:val="00FA0F6A"/>
    <w:rsid w:val="00FA1391"/>
    <w:rsid w:val="00FA16C7"/>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BD"/>
    <w:rsid w:val="00FA470A"/>
    <w:rsid w:val="00FA4A1B"/>
    <w:rsid w:val="00FA4AEC"/>
    <w:rsid w:val="00FA4E66"/>
    <w:rsid w:val="00FA5184"/>
    <w:rsid w:val="00FA5325"/>
    <w:rsid w:val="00FA59A8"/>
    <w:rsid w:val="00FA59F3"/>
    <w:rsid w:val="00FA5ADF"/>
    <w:rsid w:val="00FA5DB1"/>
    <w:rsid w:val="00FA5EDF"/>
    <w:rsid w:val="00FA6156"/>
    <w:rsid w:val="00FA62A8"/>
    <w:rsid w:val="00FA6364"/>
    <w:rsid w:val="00FA645B"/>
    <w:rsid w:val="00FA646B"/>
    <w:rsid w:val="00FA647D"/>
    <w:rsid w:val="00FA64D6"/>
    <w:rsid w:val="00FA68BC"/>
    <w:rsid w:val="00FA6930"/>
    <w:rsid w:val="00FA6D76"/>
    <w:rsid w:val="00FA7385"/>
    <w:rsid w:val="00FA73F6"/>
    <w:rsid w:val="00FA7809"/>
    <w:rsid w:val="00FA7BEB"/>
    <w:rsid w:val="00FA7C44"/>
    <w:rsid w:val="00FB0117"/>
    <w:rsid w:val="00FB01C5"/>
    <w:rsid w:val="00FB02DF"/>
    <w:rsid w:val="00FB0337"/>
    <w:rsid w:val="00FB05C2"/>
    <w:rsid w:val="00FB0EE5"/>
    <w:rsid w:val="00FB1072"/>
    <w:rsid w:val="00FB1111"/>
    <w:rsid w:val="00FB1120"/>
    <w:rsid w:val="00FB17BD"/>
    <w:rsid w:val="00FB18BE"/>
    <w:rsid w:val="00FB195B"/>
    <w:rsid w:val="00FB1F13"/>
    <w:rsid w:val="00FB206F"/>
    <w:rsid w:val="00FB24C1"/>
    <w:rsid w:val="00FB2DB4"/>
    <w:rsid w:val="00FB30B8"/>
    <w:rsid w:val="00FB39B6"/>
    <w:rsid w:val="00FB3A8E"/>
    <w:rsid w:val="00FB3F7C"/>
    <w:rsid w:val="00FB41AF"/>
    <w:rsid w:val="00FB41B4"/>
    <w:rsid w:val="00FB42FA"/>
    <w:rsid w:val="00FB431E"/>
    <w:rsid w:val="00FB452F"/>
    <w:rsid w:val="00FB46D6"/>
    <w:rsid w:val="00FB473B"/>
    <w:rsid w:val="00FB4940"/>
    <w:rsid w:val="00FB4A86"/>
    <w:rsid w:val="00FB4C82"/>
    <w:rsid w:val="00FB547F"/>
    <w:rsid w:val="00FB56A6"/>
    <w:rsid w:val="00FB56B2"/>
    <w:rsid w:val="00FB5943"/>
    <w:rsid w:val="00FB5CFC"/>
    <w:rsid w:val="00FB5EBC"/>
    <w:rsid w:val="00FB600B"/>
    <w:rsid w:val="00FB6200"/>
    <w:rsid w:val="00FB63D5"/>
    <w:rsid w:val="00FB65A1"/>
    <w:rsid w:val="00FB6B92"/>
    <w:rsid w:val="00FB6C11"/>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F3A"/>
    <w:rsid w:val="00FC548C"/>
    <w:rsid w:val="00FC54F9"/>
    <w:rsid w:val="00FC5850"/>
    <w:rsid w:val="00FC59ED"/>
    <w:rsid w:val="00FC5CB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0918"/>
    <w:rsid w:val="00FD1276"/>
    <w:rsid w:val="00FD15B8"/>
    <w:rsid w:val="00FD18F4"/>
    <w:rsid w:val="00FD1F96"/>
    <w:rsid w:val="00FD20B2"/>
    <w:rsid w:val="00FD22E4"/>
    <w:rsid w:val="00FD23E8"/>
    <w:rsid w:val="00FD2A90"/>
    <w:rsid w:val="00FD32BD"/>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8D"/>
    <w:rsid w:val="00FD4E14"/>
    <w:rsid w:val="00FD4F8A"/>
    <w:rsid w:val="00FD50F0"/>
    <w:rsid w:val="00FD5160"/>
    <w:rsid w:val="00FD526B"/>
    <w:rsid w:val="00FD5282"/>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D7FA3"/>
    <w:rsid w:val="00FE0054"/>
    <w:rsid w:val="00FE0125"/>
    <w:rsid w:val="00FE0817"/>
    <w:rsid w:val="00FE0B10"/>
    <w:rsid w:val="00FE1501"/>
    <w:rsid w:val="00FE1EA1"/>
    <w:rsid w:val="00FE2507"/>
    <w:rsid w:val="00FE26BF"/>
    <w:rsid w:val="00FE2A94"/>
    <w:rsid w:val="00FE2BA8"/>
    <w:rsid w:val="00FE2BDB"/>
    <w:rsid w:val="00FE310F"/>
    <w:rsid w:val="00FE390A"/>
    <w:rsid w:val="00FE3C76"/>
    <w:rsid w:val="00FE3E8D"/>
    <w:rsid w:val="00FE4055"/>
    <w:rsid w:val="00FE4075"/>
    <w:rsid w:val="00FE408A"/>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70"/>
    <w:rsid w:val="00FF158D"/>
    <w:rsid w:val="00FF15CD"/>
    <w:rsid w:val="00FF1B0D"/>
    <w:rsid w:val="00FF1E09"/>
    <w:rsid w:val="00FF205C"/>
    <w:rsid w:val="00FF2451"/>
    <w:rsid w:val="00FF25CF"/>
    <w:rsid w:val="00FF26F5"/>
    <w:rsid w:val="00FF2796"/>
    <w:rsid w:val="00FF31C1"/>
    <w:rsid w:val="00FF326A"/>
    <w:rsid w:val="00FF3895"/>
    <w:rsid w:val="00FF3B5F"/>
    <w:rsid w:val="00FF4256"/>
    <w:rsid w:val="00FF4796"/>
    <w:rsid w:val="00FF47C0"/>
    <w:rsid w:val="00FF4962"/>
    <w:rsid w:val="00FF4E6D"/>
    <w:rsid w:val="00FF50D6"/>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6F5D"/>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931FB85"/>
  <w15:chartTrackingRefBased/>
  <w15:docId w15:val="{EBD8FE6C-AF4E-49D3-8D2B-35D743C40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firstLine="0"/>
    </w:pPr>
  </w:style>
  <w:style w:type="paragraph" w:styleId="41">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styleId="51">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1">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1">
    <w:name w:val="toc 7"/>
    <w:basedOn w:val="a0"/>
    <w:next w:val="a0"/>
    <w:autoRedefine/>
    <w:uiPriority w:val="39"/>
    <w:rsid w:val="00576214"/>
    <w:pPr>
      <w:ind w:firstLine="0"/>
    </w:pPr>
    <w:rPr>
      <w:rFonts w:ascii="Times New Roman" w:eastAsia="MS Mincho" w:hAnsi="Times New Roman"/>
      <w:sz w:val="24"/>
      <w:lang w:eastAsia="ja-JP"/>
    </w:rPr>
  </w:style>
  <w:style w:type="paragraph" w:styleId="81">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1">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 Char2 Char Char Char,cap1,cap2,cap11,cap Char Char Char Char Char,cap Char Char Char Char Char Char"/>
    <w:basedOn w:val="a0"/>
    <w:next w:val="a0"/>
    <w:link w:val="af6"/>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uiPriority w:val="99"/>
    <w:qFormat/>
    <w:rsid w:val="000E4594"/>
    <w:rPr>
      <w:sz w:val="16"/>
      <w:szCs w:val="16"/>
    </w:rPr>
  </w:style>
  <w:style w:type="paragraph" w:styleId="af9">
    <w:name w:val="annotation text"/>
    <w:basedOn w:val="a0"/>
    <w:link w:val="afa"/>
    <w:uiPriority w:val="99"/>
    <w:qFormat/>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qFormat/>
    <w:rsid w:val="001F1F9F"/>
    <w:pPr>
      <w:keepNext/>
      <w:keepLines/>
      <w:ind w:left="0" w:firstLine="0"/>
    </w:pPr>
    <w:rPr>
      <w:rFonts w:ascii="Arial" w:eastAsia="MS Mincho" w:hAnsi="Arial"/>
      <w:sz w:val="18"/>
      <w:szCs w:val="20"/>
    </w:rPr>
  </w:style>
  <w:style w:type="paragraph" w:customStyle="1" w:styleId="TAC">
    <w:name w:val="TAC"/>
    <w:basedOn w:val="a0"/>
    <w:link w:val="TACChar"/>
    <w:qFormat/>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uiPriority w:val="99"/>
    <w:qFormat/>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uiPriority w:val="20"/>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ì¬º¥¹¥È¶ÎÂä,ÁÐ³ö¶ÎÂä,列表段落1,—ño’i—Ž,¥ê¥¹¥È¶ÎÂä,1st level - Bullet List Paragraph,Lettre d'introduction,Paragrafo elenco,Normal bullet 2,Bullet list,목록단락,numbered,リスト段落1,列表段落"/>
    <w:basedOn w:val="a0"/>
    <w:link w:val="12"/>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link w:val="af5"/>
    <w:qFormat/>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pPr>
      <w:ind w:left="0" w:firstLine="0"/>
    </w:pPr>
    <w:rPr>
      <w:rFonts w:ascii="Arial" w:eastAsia="MS Gothic" w:hAnsi="Arial"/>
      <w:color w:val="000000"/>
      <w:szCs w:val="20"/>
      <w:lang w:val="x-none" w:eastAsia="x-none"/>
    </w:rPr>
  </w:style>
  <w:style w:type="character" w:customStyle="1" w:styleId="aff3">
    <w:name w:val="纯文本 字符"/>
    <w:link w:val="aff2"/>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2">
    <w:name w:val="列出段落 字符1"/>
    <w:aliases w:val="- Bullets 字符,목록 단락 字符,列出段落1 字符1,リスト段落 字符1,?? ?? 字符,????? 字符,???? 字符,Lista1 字符,中等深浅网格 1 - 着色 21 字符,¥¡¡¡¡ì¬º¥¹¥È¶ÎÂä 字符,ÁÐ³ö¶ÎÂä 字符,列表段落1 字符,—ño’i—Ž 字符,¥ê¥¹¥È¶ÎÂä 字符,1st level - Bullet List Paragraph 字符,Lettre d'introduction 字符,Bullet list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4">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5">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列 字符"/>
    <w:uiPriority w:val="34"/>
    <w:qFormat/>
    <w:locked/>
    <w:rsid w:val="005753C8"/>
    <w:rPr>
      <w:lang w:val="en-GB" w:eastAsia="en-GB"/>
    </w:rPr>
  </w:style>
  <w:style w:type="table" w:styleId="aff6">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ubtle Reference"/>
    <w:uiPriority w:val="31"/>
    <w:qFormat/>
    <w:rsid w:val="00866A6B"/>
    <w:rPr>
      <w:smallCaps/>
      <w:color w:val="5A5A5A"/>
    </w:rPr>
  </w:style>
  <w:style w:type="character" w:styleId="aff8">
    <w:name w:val="Placeholder Text"/>
    <w:basedOn w:val="a1"/>
    <w:uiPriority w:val="99"/>
    <w:semiHidden/>
    <w:rsid w:val="00FD32BD"/>
    <w:rPr>
      <w:color w:val="808080"/>
    </w:rPr>
  </w:style>
  <w:style w:type="paragraph" w:customStyle="1" w:styleId="List21">
    <w:name w:val="List 21"/>
    <w:basedOn w:val="aff0"/>
    <w:qFormat/>
    <w:rsid w:val="008D5A4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character" w:customStyle="1" w:styleId="B1Char1">
    <w:name w:val="B1 Char1"/>
    <w:qFormat/>
    <w:rsid w:val="00CA01D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2705607">
      <w:bodyDiv w:val="1"/>
      <w:marLeft w:val="0"/>
      <w:marRight w:val="0"/>
      <w:marTop w:val="0"/>
      <w:marBottom w:val="0"/>
      <w:divBdr>
        <w:top w:val="none" w:sz="0" w:space="0" w:color="auto"/>
        <w:left w:val="none" w:sz="0" w:space="0" w:color="auto"/>
        <w:bottom w:val="none" w:sz="0" w:space="0" w:color="auto"/>
        <w:right w:val="none" w:sz="0" w:space="0" w:color="auto"/>
      </w:divBdr>
      <w:divsChild>
        <w:div w:id="402410455">
          <w:marLeft w:val="0"/>
          <w:marRight w:val="0"/>
          <w:marTop w:val="0"/>
          <w:marBottom w:val="0"/>
          <w:divBdr>
            <w:top w:val="none" w:sz="0" w:space="0" w:color="auto"/>
            <w:left w:val="none" w:sz="0" w:space="0" w:color="auto"/>
            <w:bottom w:val="none" w:sz="0" w:space="0" w:color="auto"/>
            <w:right w:val="none" w:sz="0" w:space="0" w:color="auto"/>
          </w:divBdr>
        </w:div>
      </w:divsChild>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78774">
      <w:bodyDiv w:val="1"/>
      <w:marLeft w:val="0"/>
      <w:marRight w:val="0"/>
      <w:marTop w:val="0"/>
      <w:marBottom w:val="0"/>
      <w:divBdr>
        <w:top w:val="none" w:sz="0" w:space="0" w:color="auto"/>
        <w:left w:val="none" w:sz="0" w:space="0" w:color="auto"/>
        <w:bottom w:val="none" w:sz="0" w:space="0" w:color="auto"/>
        <w:right w:val="none" w:sz="0" w:space="0" w:color="auto"/>
      </w:divBdr>
      <w:divsChild>
        <w:div w:id="2060473674">
          <w:marLeft w:val="1181"/>
          <w:marRight w:val="0"/>
          <w:marTop w:val="40"/>
          <w:marBottom w:val="8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770269">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027597">
      <w:bodyDiv w:val="1"/>
      <w:marLeft w:val="0"/>
      <w:marRight w:val="0"/>
      <w:marTop w:val="0"/>
      <w:marBottom w:val="0"/>
      <w:divBdr>
        <w:top w:val="none" w:sz="0" w:space="0" w:color="auto"/>
        <w:left w:val="none" w:sz="0" w:space="0" w:color="auto"/>
        <w:bottom w:val="none" w:sz="0" w:space="0" w:color="auto"/>
        <w:right w:val="none" w:sz="0" w:space="0" w:color="auto"/>
      </w:divBdr>
      <w:divsChild>
        <w:div w:id="285623044">
          <w:marLeft w:val="547"/>
          <w:marRight w:val="0"/>
          <w:marTop w:val="0"/>
          <w:marBottom w:val="0"/>
          <w:divBdr>
            <w:top w:val="none" w:sz="0" w:space="0" w:color="auto"/>
            <w:left w:val="none" w:sz="0" w:space="0" w:color="auto"/>
            <w:bottom w:val="none" w:sz="0" w:space="0" w:color="auto"/>
            <w:right w:val="none" w:sz="0" w:space="0" w:color="auto"/>
          </w:divBdr>
        </w:div>
        <w:div w:id="956913870">
          <w:marLeft w:val="547"/>
          <w:marRight w:val="0"/>
          <w:marTop w:val="0"/>
          <w:marBottom w:val="0"/>
          <w:divBdr>
            <w:top w:val="none" w:sz="0" w:space="0" w:color="auto"/>
            <w:left w:val="none" w:sz="0" w:space="0" w:color="auto"/>
            <w:bottom w:val="none" w:sz="0" w:space="0" w:color="auto"/>
            <w:right w:val="none" w:sz="0" w:space="0" w:color="auto"/>
          </w:divBdr>
        </w:div>
        <w:div w:id="46414376">
          <w:marLeft w:val="1166"/>
          <w:marRight w:val="0"/>
          <w:marTop w:val="0"/>
          <w:marBottom w:val="0"/>
          <w:divBdr>
            <w:top w:val="none" w:sz="0" w:space="0" w:color="auto"/>
            <w:left w:val="none" w:sz="0" w:space="0" w:color="auto"/>
            <w:bottom w:val="none" w:sz="0" w:space="0" w:color="auto"/>
            <w:right w:val="none" w:sz="0" w:space="0" w:color="auto"/>
          </w:divBdr>
        </w:div>
        <w:div w:id="1431658340">
          <w:marLeft w:val="547"/>
          <w:marRight w:val="0"/>
          <w:marTop w:val="0"/>
          <w:marBottom w:val="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245011">
      <w:bodyDiv w:val="1"/>
      <w:marLeft w:val="0"/>
      <w:marRight w:val="0"/>
      <w:marTop w:val="0"/>
      <w:marBottom w:val="0"/>
      <w:divBdr>
        <w:top w:val="none" w:sz="0" w:space="0" w:color="auto"/>
        <w:left w:val="none" w:sz="0" w:space="0" w:color="auto"/>
        <w:bottom w:val="none" w:sz="0" w:space="0" w:color="auto"/>
        <w:right w:val="none" w:sz="0" w:space="0" w:color="auto"/>
      </w:divBdr>
      <w:divsChild>
        <w:div w:id="812450967">
          <w:marLeft w:val="0"/>
          <w:marRight w:val="0"/>
          <w:marTop w:val="0"/>
          <w:marBottom w:val="0"/>
          <w:divBdr>
            <w:top w:val="none" w:sz="0" w:space="0" w:color="auto"/>
            <w:left w:val="none" w:sz="0" w:space="0" w:color="auto"/>
            <w:bottom w:val="none" w:sz="0" w:space="0" w:color="auto"/>
            <w:right w:val="none" w:sz="0" w:space="0" w:color="auto"/>
          </w:divBdr>
        </w:div>
      </w:divsChild>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310053">
      <w:bodyDiv w:val="1"/>
      <w:marLeft w:val="0"/>
      <w:marRight w:val="0"/>
      <w:marTop w:val="0"/>
      <w:marBottom w:val="0"/>
      <w:divBdr>
        <w:top w:val="none" w:sz="0" w:space="0" w:color="auto"/>
        <w:left w:val="none" w:sz="0" w:space="0" w:color="auto"/>
        <w:bottom w:val="none" w:sz="0" w:space="0" w:color="auto"/>
        <w:right w:val="none" w:sz="0" w:space="0" w:color="auto"/>
      </w:divBdr>
      <w:divsChild>
        <w:div w:id="1677876585">
          <w:marLeft w:val="0"/>
          <w:marRight w:val="0"/>
          <w:marTop w:val="0"/>
          <w:marBottom w:val="0"/>
          <w:divBdr>
            <w:top w:val="none" w:sz="0" w:space="0" w:color="auto"/>
            <w:left w:val="none" w:sz="0" w:space="0" w:color="auto"/>
            <w:bottom w:val="none" w:sz="0" w:space="0" w:color="auto"/>
            <w:right w:val="none" w:sz="0" w:space="0" w:color="auto"/>
          </w:divBdr>
        </w:div>
      </w:divsChild>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48944">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7666813">
      <w:bodyDiv w:val="1"/>
      <w:marLeft w:val="0"/>
      <w:marRight w:val="0"/>
      <w:marTop w:val="0"/>
      <w:marBottom w:val="0"/>
      <w:divBdr>
        <w:top w:val="none" w:sz="0" w:space="0" w:color="auto"/>
        <w:left w:val="none" w:sz="0" w:space="0" w:color="auto"/>
        <w:bottom w:val="none" w:sz="0" w:space="0" w:color="auto"/>
        <w:right w:val="none" w:sz="0" w:space="0" w:color="auto"/>
      </w:divBdr>
      <w:divsChild>
        <w:div w:id="1968002858">
          <w:marLeft w:val="576"/>
          <w:marRight w:val="0"/>
          <w:marTop w:val="0"/>
          <w:marBottom w:val="0"/>
          <w:divBdr>
            <w:top w:val="none" w:sz="0" w:space="0" w:color="auto"/>
            <w:left w:val="none" w:sz="0" w:space="0" w:color="auto"/>
            <w:bottom w:val="none" w:sz="0" w:space="0" w:color="auto"/>
            <w:right w:val="none" w:sz="0" w:space="0" w:color="auto"/>
          </w:divBdr>
        </w:div>
        <w:div w:id="1937522595">
          <w:marLeft w:val="994"/>
          <w:marRight w:val="0"/>
          <w:marTop w:val="0"/>
          <w:marBottom w:val="0"/>
          <w:divBdr>
            <w:top w:val="none" w:sz="0" w:space="0" w:color="auto"/>
            <w:left w:val="none" w:sz="0" w:space="0" w:color="auto"/>
            <w:bottom w:val="none" w:sz="0" w:space="0" w:color="auto"/>
            <w:right w:val="none" w:sz="0" w:space="0" w:color="auto"/>
          </w:divBdr>
        </w:div>
        <w:div w:id="2014255999">
          <w:marLeft w:val="1411"/>
          <w:marRight w:val="0"/>
          <w:marTop w:val="0"/>
          <w:marBottom w:val="0"/>
          <w:divBdr>
            <w:top w:val="none" w:sz="0" w:space="0" w:color="auto"/>
            <w:left w:val="none" w:sz="0" w:space="0" w:color="auto"/>
            <w:bottom w:val="none" w:sz="0" w:space="0" w:color="auto"/>
            <w:right w:val="none" w:sz="0" w:space="0" w:color="auto"/>
          </w:divBdr>
        </w:div>
        <w:div w:id="289701382">
          <w:marLeft w:val="1411"/>
          <w:marRight w:val="0"/>
          <w:marTop w:val="0"/>
          <w:marBottom w:val="0"/>
          <w:divBdr>
            <w:top w:val="none" w:sz="0" w:space="0" w:color="auto"/>
            <w:left w:val="none" w:sz="0" w:space="0" w:color="auto"/>
            <w:bottom w:val="none" w:sz="0" w:space="0" w:color="auto"/>
            <w:right w:val="none" w:sz="0" w:space="0" w:color="auto"/>
          </w:divBdr>
        </w:div>
        <w:div w:id="317849806">
          <w:marLeft w:val="1699"/>
          <w:marRight w:val="0"/>
          <w:marTop w:val="0"/>
          <w:marBottom w:val="0"/>
          <w:divBdr>
            <w:top w:val="none" w:sz="0" w:space="0" w:color="auto"/>
            <w:left w:val="none" w:sz="0" w:space="0" w:color="auto"/>
            <w:bottom w:val="none" w:sz="0" w:space="0" w:color="auto"/>
            <w:right w:val="none" w:sz="0" w:space="0" w:color="auto"/>
          </w:divBdr>
        </w:div>
        <w:div w:id="912664632">
          <w:marLeft w:val="1699"/>
          <w:marRight w:val="0"/>
          <w:marTop w:val="0"/>
          <w:marBottom w:val="0"/>
          <w:divBdr>
            <w:top w:val="none" w:sz="0" w:space="0" w:color="auto"/>
            <w:left w:val="none" w:sz="0" w:space="0" w:color="auto"/>
            <w:bottom w:val="none" w:sz="0" w:space="0" w:color="auto"/>
            <w:right w:val="none" w:sz="0" w:space="0" w:color="auto"/>
          </w:divBdr>
        </w:div>
        <w:div w:id="686636845">
          <w:marLeft w:val="1411"/>
          <w:marRight w:val="0"/>
          <w:marTop w:val="0"/>
          <w:marBottom w:val="0"/>
          <w:divBdr>
            <w:top w:val="none" w:sz="0" w:space="0" w:color="auto"/>
            <w:left w:val="none" w:sz="0" w:space="0" w:color="auto"/>
            <w:bottom w:val="none" w:sz="0" w:space="0" w:color="auto"/>
            <w:right w:val="none" w:sz="0" w:space="0" w:color="auto"/>
          </w:divBdr>
        </w:div>
        <w:div w:id="1132940362">
          <w:marLeft w:val="994"/>
          <w:marRight w:val="0"/>
          <w:marTop w:val="0"/>
          <w:marBottom w:val="0"/>
          <w:divBdr>
            <w:top w:val="none" w:sz="0" w:space="0" w:color="auto"/>
            <w:left w:val="none" w:sz="0" w:space="0" w:color="auto"/>
            <w:bottom w:val="none" w:sz="0" w:space="0" w:color="auto"/>
            <w:right w:val="none" w:sz="0" w:space="0" w:color="auto"/>
          </w:divBdr>
        </w:div>
        <w:div w:id="1323391012">
          <w:marLeft w:val="1699"/>
          <w:marRight w:val="0"/>
          <w:marTop w:val="0"/>
          <w:marBottom w:val="0"/>
          <w:divBdr>
            <w:top w:val="none" w:sz="0" w:space="0" w:color="auto"/>
            <w:left w:val="none" w:sz="0" w:space="0" w:color="auto"/>
            <w:bottom w:val="none" w:sz="0" w:space="0" w:color="auto"/>
            <w:right w:val="none" w:sz="0" w:space="0" w:color="auto"/>
          </w:divBdr>
        </w:div>
        <w:div w:id="906770267">
          <w:marLeft w:val="1699"/>
          <w:marRight w:val="0"/>
          <w:marTop w:val="0"/>
          <w:marBottom w:val="0"/>
          <w:divBdr>
            <w:top w:val="none" w:sz="0" w:space="0" w:color="auto"/>
            <w:left w:val="none" w:sz="0" w:space="0" w:color="auto"/>
            <w:bottom w:val="none" w:sz="0" w:space="0" w:color="auto"/>
            <w:right w:val="none" w:sz="0" w:space="0" w:color="auto"/>
          </w:divBdr>
        </w:div>
        <w:div w:id="1077939606">
          <w:marLeft w:val="994"/>
          <w:marRight w:val="0"/>
          <w:marTop w:val="0"/>
          <w:marBottom w:val="0"/>
          <w:divBdr>
            <w:top w:val="none" w:sz="0" w:space="0" w:color="auto"/>
            <w:left w:val="none" w:sz="0" w:space="0" w:color="auto"/>
            <w:bottom w:val="none" w:sz="0" w:space="0" w:color="auto"/>
            <w:right w:val="none" w:sz="0" w:space="0" w:color="auto"/>
          </w:divBdr>
        </w:div>
      </w:divsChild>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090236">
      <w:bodyDiv w:val="1"/>
      <w:marLeft w:val="0"/>
      <w:marRight w:val="0"/>
      <w:marTop w:val="0"/>
      <w:marBottom w:val="0"/>
      <w:divBdr>
        <w:top w:val="none" w:sz="0" w:space="0" w:color="auto"/>
        <w:left w:val="none" w:sz="0" w:space="0" w:color="auto"/>
        <w:bottom w:val="none" w:sz="0" w:space="0" w:color="auto"/>
        <w:right w:val="none" w:sz="0" w:space="0" w:color="auto"/>
      </w:divBdr>
      <w:divsChild>
        <w:div w:id="110831291">
          <w:marLeft w:val="0"/>
          <w:marRight w:val="0"/>
          <w:marTop w:val="0"/>
          <w:marBottom w:val="0"/>
          <w:divBdr>
            <w:top w:val="none" w:sz="0" w:space="0" w:color="auto"/>
            <w:left w:val="none" w:sz="0" w:space="0" w:color="auto"/>
            <w:bottom w:val="none" w:sz="0" w:space="0" w:color="auto"/>
            <w:right w:val="none" w:sz="0" w:space="0" w:color="auto"/>
          </w:divBdr>
        </w:div>
      </w:divsChild>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038923">
      <w:bodyDiv w:val="1"/>
      <w:marLeft w:val="0"/>
      <w:marRight w:val="0"/>
      <w:marTop w:val="0"/>
      <w:marBottom w:val="0"/>
      <w:divBdr>
        <w:top w:val="none" w:sz="0" w:space="0" w:color="auto"/>
        <w:left w:val="none" w:sz="0" w:space="0" w:color="auto"/>
        <w:bottom w:val="none" w:sz="0" w:space="0" w:color="auto"/>
        <w:right w:val="none" w:sz="0" w:space="0" w:color="auto"/>
      </w:divBdr>
      <w:divsChild>
        <w:div w:id="540170025">
          <w:marLeft w:val="0"/>
          <w:marRight w:val="0"/>
          <w:marTop w:val="0"/>
          <w:marBottom w:val="0"/>
          <w:divBdr>
            <w:top w:val="none" w:sz="0" w:space="0" w:color="auto"/>
            <w:left w:val="none" w:sz="0" w:space="0" w:color="auto"/>
            <w:bottom w:val="none" w:sz="0" w:space="0" w:color="auto"/>
            <w:right w:val="none" w:sz="0" w:space="0" w:color="auto"/>
          </w:divBdr>
        </w:div>
      </w:divsChild>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700343">
      <w:bodyDiv w:val="1"/>
      <w:marLeft w:val="0"/>
      <w:marRight w:val="0"/>
      <w:marTop w:val="0"/>
      <w:marBottom w:val="0"/>
      <w:divBdr>
        <w:top w:val="none" w:sz="0" w:space="0" w:color="auto"/>
        <w:left w:val="none" w:sz="0" w:space="0" w:color="auto"/>
        <w:bottom w:val="none" w:sz="0" w:space="0" w:color="auto"/>
        <w:right w:val="none" w:sz="0" w:space="0" w:color="auto"/>
      </w:divBdr>
      <w:divsChild>
        <w:div w:id="1776241428">
          <w:marLeft w:val="1181"/>
          <w:marRight w:val="0"/>
          <w:marTop w:val="40"/>
          <w:marBottom w:val="8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5387671">
      <w:bodyDiv w:val="1"/>
      <w:marLeft w:val="0"/>
      <w:marRight w:val="0"/>
      <w:marTop w:val="0"/>
      <w:marBottom w:val="0"/>
      <w:divBdr>
        <w:top w:val="none" w:sz="0" w:space="0" w:color="auto"/>
        <w:left w:val="none" w:sz="0" w:space="0" w:color="auto"/>
        <w:bottom w:val="none" w:sz="0" w:space="0" w:color="auto"/>
        <w:right w:val="none" w:sz="0" w:space="0" w:color="auto"/>
      </w:divBdr>
      <w:divsChild>
        <w:div w:id="1363746047">
          <w:marLeft w:val="0"/>
          <w:marRight w:val="0"/>
          <w:marTop w:val="0"/>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23668">
      <w:bodyDiv w:val="1"/>
      <w:marLeft w:val="0"/>
      <w:marRight w:val="0"/>
      <w:marTop w:val="0"/>
      <w:marBottom w:val="0"/>
      <w:divBdr>
        <w:top w:val="none" w:sz="0" w:space="0" w:color="auto"/>
        <w:left w:val="none" w:sz="0" w:space="0" w:color="auto"/>
        <w:bottom w:val="none" w:sz="0" w:space="0" w:color="auto"/>
        <w:right w:val="none" w:sz="0" w:space="0" w:color="auto"/>
      </w:divBdr>
      <w:divsChild>
        <w:div w:id="1369061626">
          <w:marLeft w:val="576"/>
          <w:marRight w:val="0"/>
          <w:marTop w:val="0"/>
          <w:marBottom w:val="0"/>
          <w:divBdr>
            <w:top w:val="none" w:sz="0" w:space="0" w:color="auto"/>
            <w:left w:val="none" w:sz="0" w:space="0" w:color="auto"/>
            <w:bottom w:val="none" w:sz="0" w:space="0" w:color="auto"/>
            <w:right w:val="none" w:sz="0" w:space="0" w:color="auto"/>
          </w:divBdr>
        </w:div>
        <w:div w:id="289093218">
          <w:marLeft w:val="994"/>
          <w:marRight w:val="0"/>
          <w:marTop w:val="0"/>
          <w:marBottom w:val="0"/>
          <w:divBdr>
            <w:top w:val="none" w:sz="0" w:space="0" w:color="auto"/>
            <w:left w:val="none" w:sz="0" w:space="0" w:color="auto"/>
            <w:bottom w:val="none" w:sz="0" w:space="0" w:color="auto"/>
            <w:right w:val="none" w:sz="0" w:space="0" w:color="auto"/>
          </w:divBdr>
        </w:div>
        <w:div w:id="1180973543">
          <w:marLeft w:val="1411"/>
          <w:marRight w:val="0"/>
          <w:marTop w:val="0"/>
          <w:marBottom w:val="0"/>
          <w:divBdr>
            <w:top w:val="none" w:sz="0" w:space="0" w:color="auto"/>
            <w:left w:val="none" w:sz="0" w:space="0" w:color="auto"/>
            <w:bottom w:val="none" w:sz="0" w:space="0" w:color="auto"/>
            <w:right w:val="none" w:sz="0" w:space="0" w:color="auto"/>
          </w:divBdr>
        </w:div>
        <w:div w:id="1334989246">
          <w:marLeft w:val="1411"/>
          <w:marRight w:val="0"/>
          <w:marTop w:val="0"/>
          <w:marBottom w:val="0"/>
          <w:divBdr>
            <w:top w:val="none" w:sz="0" w:space="0" w:color="auto"/>
            <w:left w:val="none" w:sz="0" w:space="0" w:color="auto"/>
            <w:bottom w:val="none" w:sz="0" w:space="0" w:color="auto"/>
            <w:right w:val="none" w:sz="0" w:space="0" w:color="auto"/>
          </w:divBdr>
        </w:div>
        <w:div w:id="1174690003">
          <w:marLeft w:val="1699"/>
          <w:marRight w:val="0"/>
          <w:marTop w:val="0"/>
          <w:marBottom w:val="0"/>
          <w:divBdr>
            <w:top w:val="none" w:sz="0" w:space="0" w:color="auto"/>
            <w:left w:val="none" w:sz="0" w:space="0" w:color="auto"/>
            <w:bottom w:val="none" w:sz="0" w:space="0" w:color="auto"/>
            <w:right w:val="none" w:sz="0" w:space="0" w:color="auto"/>
          </w:divBdr>
        </w:div>
        <w:div w:id="2041734191">
          <w:marLeft w:val="1699"/>
          <w:marRight w:val="0"/>
          <w:marTop w:val="0"/>
          <w:marBottom w:val="0"/>
          <w:divBdr>
            <w:top w:val="none" w:sz="0" w:space="0" w:color="auto"/>
            <w:left w:val="none" w:sz="0" w:space="0" w:color="auto"/>
            <w:bottom w:val="none" w:sz="0" w:space="0" w:color="auto"/>
            <w:right w:val="none" w:sz="0" w:space="0" w:color="auto"/>
          </w:divBdr>
        </w:div>
        <w:div w:id="323818736">
          <w:marLeft w:val="1411"/>
          <w:marRight w:val="0"/>
          <w:marTop w:val="0"/>
          <w:marBottom w:val="0"/>
          <w:divBdr>
            <w:top w:val="none" w:sz="0" w:space="0" w:color="auto"/>
            <w:left w:val="none" w:sz="0" w:space="0" w:color="auto"/>
            <w:bottom w:val="none" w:sz="0" w:space="0" w:color="auto"/>
            <w:right w:val="none" w:sz="0" w:space="0" w:color="auto"/>
          </w:divBdr>
        </w:div>
        <w:div w:id="1364090937">
          <w:marLeft w:val="994"/>
          <w:marRight w:val="0"/>
          <w:marTop w:val="0"/>
          <w:marBottom w:val="0"/>
          <w:divBdr>
            <w:top w:val="none" w:sz="0" w:space="0" w:color="auto"/>
            <w:left w:val="none" w:sz="0" w:space="0" w:color="auto"/>
            <w:bottom w:val="none" w:sz="0" w:space="0" w:color="auto"/>
            <w:right w:val="none" w:sz="0" w:space="0" w:color="auto"/>
          </w:divBdr>
        </w:div>
        <w:div w:id="1006246258">
          <w:marLeft w:val="1699"/>
          <w:marRight w:val="0"/>
          <w:marTop w:val="0"/>
          <w:marBottom w:val="0"/>
          <w:divBdr>
            <w:top w:val="none" w:sz="0" w:space="0" w:color="auto"/>
            <w:left w:val="none" w:sz="0" w:space="0" w:color="auto"/>
            <w:bottom w:val="none" w:sz="0" w:space="0" w:color="auto"/>
            <w:right w:val="none" w:sz="0" w:space="0" w:color="auto"/>
          </w:divBdr>
        </w:div>
        <w:div w:id="983655818">
          <w:marLeft w:val="1699"/>
          <w:marRight w:val="0"/>
          <w:marTop w:val="0"/>
          <w:marBottom w:val="0"/>
          <w:divBdr>
            <w:top w:val="none" w:sz="0" w:space="0" w:color="auto"/>
            <w:left w:val="none" w:sz="0" w:space="0" w:color="auto"/>
            <w:bottom w:val="none" w:sz="0" w:space="0" w:color="auto"/>
            <w:right w:val="none" w:sz="0" w:space="0" w:color="auto"/>
          </w:divBdr>
        </w:div>
        <w:div w:id="907764019">
          <w:marLeft w:val="994"/>
          <w:marRight w:val="0"/>
          <w:marTop w:val="0"/>
          <w:marBottom w:val="0"/>
          <w:divBdr>
            <w:top w:val="none" w:sz="0" w:space="0" w:color="auto"/>
            <w:left w:val="none" w:sz="0" w:space="0" w:color="auto"/>
            <w:bottom w:val="none" w:sz="0" w:space="0" w:color="auto"/>
            <w:right w:val="none" w:sz="0" w:space="0" w:color="auto"/>
          </w:divBdr>
        </w:div>
      </w:divsChild>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5" Type="http://schemas.microsoft.com/office/2016/09/relationships/commentsIds" Target="commentsId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22C4A8-D91B-4909-A564-EF544A630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6</Pages>
  <Words>3386</Words>
  <Characters>16606</Characters>
  <Application>Microsoft Office Word</Application>
  <DocSecurity>0</DocSecurity>
  <Lines>138</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19953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cp:lastModifiedBy>wanglei</cp:lastModifiedBy>
  <cp:revision>2</cp:revision>
  <cp:lastPrinted>2013-05-13T04:37:00Z</cp:lastPrinted>
  <dcterms:created xsi:type="dcterms:W3CDTF">2023-02-17T05:51:00Z</dcterms:created>
  <dcterms:modified xsi:type="dcterms:W3CDTF">2023-02-17T05:51:00Z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9a0c825511c4292998a1c36e692b7d8">
    <vt:lpwstr>CWMJ45AN7t/DmFF3/xDusbV9o74PcXk32nFBqK6WVx/2BlMf0KsuQsTKeoQmkb+oaw138//0igPxbHnNXnKX8vMrw==</vt:lpwstr>
  </property>
  <property fmtid="{D5CDD505-2E9C-101B-9397-08002B2CF9AE}" pid="4" name="CWM6fe21133c14a4d148c58a191a2333b0b">
    <vt:lpwstr>CWMGIPE1+vMmfQqwhZd0fvl5Yv7YJOz3rp4bepy/QIMIvUzGD/mijonAn71gJ2sf2eSTT2Y3IsGo30igPQTWl5ePQ==</vt:lpwstr>
  </property>
  <property fmtid="{D5CDD505-2E9C-101B-9397-08002B2CF9AE}" pid="5" name="CWMe35c896bdf594e7989f0ab60e26e7d68">
    <vt:lpwstr>CWMSmDPdVbGrFiLa8ZG2fN9XTtp2hlZkIkqAdrA0bs3eJuhzYfJG4LmiZsGmBUqNe29ppkQZlJSa5XkBsuMCkteQw==</vt:lpwstr>
  </property>
</Properties>
</file>